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2" w:type="dxa"/>
        <w:tblCellMar>
          <w:left w:w="0" w:type="dxa"/>
          <w:right w:w="0" w:type="dxa"/>
        </w:tblCellMar>
        <w:tblLook w:val="04A0" w:firstRow="1" w:lastRow="0" w:firstColumn="1" w:lastColumn="0" w:noHBand="0" w:noVBand="1"/>
      </w:tblPr>
      <w:tblGrid>
        <w:gridCol w:w="4502"/>
      </w:tblGrid>
      <w:tr w:rsidR="004B6F5E" w:rsidTr="004B6F5E">
        <w:tc>
          <w:tcPr>
            <w:tcW w:w="4502"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center"/>
            <w:hideMark/>
          </w:tcPr>
          <w:p w:rsidR="004B6F5E" w:rsidRDefault="004B6F5E">
            <w:pPr>
              <w:jc w:val="center"/>
            </w:pPr>
            <w:bookmarkStart w:id="0" w:name="_GoBack"/>
            <w:bookmarkEnd w:id="0"/>
            <w:r>
              <w:rPr>
                <w:b/>
                <w:bCs/>
              </w:rPr>
              <w:t xml:space="preserve">    </w:t>
            </w:r>
          </w:p>
        </w:tc>
      </w:tr>
      <w:tr w:rsidR="004B6F5E" w:rsidTr="004B6F5E">
        <w:tc>
          <w:tcPr>
            <w:tcW w:w="4502" w:type="dxa"/>
            <w:tcBorders>
              <w:top w:val="nil"/>
              <w:left w:val="single" w:sz="8" w:space="0" w:color="FFFFFF"/>
              <w:bottom w:val="single" w:sz="8" w:space="0" w:color="FFFFFF"/>
              <w:right w:val="single" w:sz="8" w:space="0" w:color="FFFFFF"/>
            </w:tcBorders>
            <w:tcMar>
              <w:top w:w="0" w:type="dxa"/>
              <w:left w:w="108" w:type="dxa"/>
              <w:bottom w:w="0" w:type="dxa"/>
              <w:right w:w="108" w:type="dxa"/>
            </w:tcMar>
            <w:vAlign w:val="center"/>
          </w:tcPr>
          <w:p w:rsidR="004B6F5E" w:rsidRDefault="004B6F5E">
            <w:pPr>
              <w:jc w:val="center"/>
            </w:pPr>
          </w:p>
        </w:tc>
      </w:tr>
      <w:tr w:rsidR="004B6F5E" w:rsidTr="004B6F5E">
        <w:tc>
          <w:tcPr>
            <w:tcW w:w="4502" w:type="dxa"/>
            <w:tcBorders>
              <w:top w:val="nil"/>
              <w:left w:val="single" w:sz="8" w:space="0" w:color="FFFFFF"/>
              <w:bottom w:val="single" w:sz="8" w:space="0" w:color="FFFFFF"/>
              <w:right w:val="single" w:sz="8" w:space="0" w:color="FFFFFF"/>
            </w:tcBorders>
            <w:tcMar>
              <w:top w:w="0" w:type="dxa"/>
              <w:left w:w="108" w:type="dxa"/>
              <w:bottom w:w="0" w:type="dxa"/>
              <w:right w:w="108" w:type="dxa"/>
            </w:tcMar>
            <w:vAlign w:val="center"/>
          </w:tcPr>
          <w:p w:rsidR="004B6F5E" w:rsidRDefault="004B6F5E">
            <w:pPr>
              <w:jc w:val="center"/>
            </w:pPr>
          </w:p>
        </w:tc>
      </w:tr>
      <w:tr w:rsidR="004B6F5E" w:rsidTr="004B6F5E">
        <w:tc>
          <w:tcPr>
            <w:tcW w:w="4502" w:type="dxa"/>
            <w:tcBorders>
              <w:top w:val="nil"/>
              <w:left w:val="single" w:sz="8" w:space="0" w:color="FFFFFF"/>
              <w:bottom w:val="single" w:sz="8" w:space="0" w:color="FFFFFF"/>
              <w:right w:val="single" w:sz="8" w:space="0" w:color="FFFFFF"/>
            </w:tcBorders>
            <w:tcMar>
              <w:top w:w="0" w:type="dxa"/>
              <w:left w:w="108" w:type="dxa"/>
              <w:bottom w:w="0" w:type="dxa"/>
              <w:right w:w="108" w:type="dxa"/>
            </w:tcMar>
            <w:vAlign w:val="center"/>
          </w:tcPr>
          <w:p w:rsidR="004B6F5E" w:rsidRDefault="004B6F5E">
            <w:pPr>
              <w:jc w:val="center"/>
            </w:pPr>
          </w:p>
        </w:tc>
      </w:tr>
    </w:tbl>
    <w:p w:rsidR="004B6F5E" w:rsidRDefault="004B6F5E" w:rsidP="004B6F5E">
      <w:pPr>
        <w:jc w:val="center"/>
        <w:rPr>
          <w:b/>
          <w:bCs/>
          <w:color w:val="000000"/>
          <w:sz w:val="32"/>
          <w:szCs w:val="32"/>
        </w:rPr>
      </w:pPr>
    </w:p>
    <w:p w:rsidR="004B6F5E" w:rsidRDefault="004B6F5E" w:rsidP="004B6F5E">
      <w:pPr>
        <w:jc w:val="center"/>
        <w:rPr>
          <w:color w:val="000000"/>
          <w:sz w:val="32"/>
          <w:szCs w:val="32"/>
        </w:rPr>
      </w:pPr>
      <w:r>
        <w:rPr>
          <w:b/>
          <w:bCs/>
          <w:color w:val="000000"/>
          <w:sz w:val="32"/>
          <w:szCs w:val="32"/>
        </w:rPr>
        <w:t>MINISTARSTVO PRAVOSUĐA</w:t>
      </w:r>
    </w:p>
    <w:p w:rsidR="004B6F5E" w:rsidRDefault="004B6F5E" w:rsidP="004B6F5E"/>
    <w:p w:rsidR="004B6F5E" w:rsidRDefault="004B6F5E" w:rsidP="004B6F5E">
      <w:pPr>
        <w:ind w:firstLine="708"/>
        <w:jc w:val="both"/>
      </w:pPr>
      <w:r>
        <w:t>Na temelju članka 124. stavak 4. Zakona o sudovima („Narod</w:t>
      </w:r>
      <w:r>
        <w:softHyphen/>
        <w:t>ne novine“, broj 28/13), ministar pravosuđa donosi</w:t>
      </w:r>
    </w:p>
    <w:p w:rsidR="004B6F5E" w:rsidRDefault="004B6F5E" w:rsidP="004B6F5E"/>
    <w:p w:rsidR="004B6F5E" w:rsidRDefault="004B6F5E" w:rsidP="004B6F5E">
      <w:pPr>
        <w:jc w:val="center"/>
        <w:rPr>
          <w:b/>
          <w:bCs/>
          <w:color w:val="000000"/>
          <w:sz w:val="32"/>
          <w:szCs w:val="32"/>
        </w:rPr>
      </w:pPr>
      <w:r>
        <w:rPr>
          <w:b/>
          <w:bCs/>
          <w:color w:val="000000"/>
          <w:sz w:val="32"/>
          <w:szCs w:val="32"/>
        </w:rPr>
        <w:t>PRAVILNIK</w:t>
      </w:r>
    </w:p>
    <w:p w:rsidR="004B6F5E" w:rsidRDefault="004B6F5E" w:rsidP="004B6F5E">
      <w:pPr>
        <w:jc w:val="center"/>
        <w:rPr>
          <w:b/>
          <w:bCs/>
          <w:color w:val="000000"/>
          <w:sz w:val="28"/>
          <w:szCs w:val="28"/>
        </w:rPr>
      </w:pPr>
    </w:p>
    <w:p w:rsidR="004B6F5E" w:rsidRDefault="004B6F5E" w:rsidP="004B6F5E">
      <w:pPr>
        <w:jc w:val="center"/>
        <w:rPr>
          <w:b/>
          <w:bCs/>
          <w:color w:val="000000"/>
          <w:sz w:val="28"/>
          <w:szCs w:val="28"/>
        </w:rPr>
      </w:pPr>
      <w:r>
        <w:rPr>
          <w:b/>
          <w:bCs/>
          <w:color w:val="000000"/>
          <w:sz w:val="28"/>
          <w:szCs w:val="28"/>
        </w:rPr>
        <w:t>O STALNIM SUDSKIM TUMAČIMA</w:t>
      </w:r>
    </w:p>
    <w:p w:rsidR="004B6F5E" w:rsidRDefault="004B6F5E" w:rsidP="004B6F5E">
      <w:pPr>
        <w:jc w:val="center"/>
        <w:rPr>
          <w:color w:val="000000"/>
        </w:rPr>
      </w:pPr>
    </w:p>
    <w:p w:rsidR="004B6F5E" w:rsidRDefault="004B6F5E" w:rsidP="004B6F5E">
      <w:pPr>
        <w:jc w:val="center"/>
        <w:rPr>
          <w:color w:val="000000"/>
        </w:rPr>
      </w:pPr>
      <w:r>
        <w:rPr>
          <w:color w:val="000000"/>
        </w:rPr>
        <w:t>Članak 1.</w:t>
      </w:r>
    </w:p>
    <w:p w:rsidR="004B6F5E" w:rsidRDefault="004B6F5E" w:rsidP="004B6F5E">
      <w:pPr>
        <w:jc w:val="center"/>
        <w:rPr>
          <w:color w:val="000000"/>
        </w:rPr>
      </w:pPr>
    </w:p>
    <w:p w:rsidR="004B6F5E" w:rsidRDefault="004B6F5E" w:rsidP="004B6F5E">
      <w:pPr>
        <w:ind w:firstLine="720"/>
        <w:jc w:val="both"/>
        <w:rPr>
          <w:color w:val="000000"/>
        </w:rPr>
      </w:pPr>
      <w:r>
        <w:rPr>
          <w:color w:val="000000"/>
        </w:rPr>
        <w:t>Ovim Pravilnikom utvrđuju se uvjeti i postupak imenovanja stalnih sudskih tumača, njihova prava i dužnosti te visina nagrade i naknade troškova za njihov rad.</w:t>
      </w:r>
    </w:p>
    <w:p w:rsidR="004B6F5E" w:rsidRDefault="004B6F5E" w:rsidP="004B6F5E">
      <w:pPr>
        <w:rPr>
          <w:color w:val="000000"/>
        </w:rPr>
      </w:pPr>
    </w:p>
    <w:p w:rsidR="004B6F5E" w:rsidRDefault="004B6F5E" w:rsidP="004B6F5E">
      <w:pPr>
        <w:jc w:val="center"/>
        <w:rPr>
          <w:color w:val="000000"/>
        </w:rPr>
      </w:pPr>
      <w:r>
        <w:rPr>
          <w:color w:val="000000"/>
        </w:rPr>
        <w:t>UVJETI ZA OBAVLJANJE POSLOVA STALNIH SUDSKIH TUMAČA</w:t>
      </w:r>
    </w:p>
    <w:p w:rsidR="004B6F5E" w:rsidRDefault="004B6F5E" w:rsidP="004B6F5E">
      <w:pPr>
        <w:jc w:val="center"/>
        <w:rPr>
          <w:color w:val="000000"/>
        </w:rPr>
      </w:pPr>
    </w:p>
    <w:p w:rsidR="004B6F5E" w:rsidRDefault="004B6F5E" w:rsidP="004B6F5E">
      <w:pPr>
        <w:jc w:val="center"/>
        <w:rPr>
          <w:color w:val="000000"/>
        </w:rPr>
      </w:pPr>
      <w:r>
        <w:rPr>
          <w:color w:val="000000"/>
        </w:rPr>
        <w:t>Članak 2.</w:t>
      </w:r>
    </w:p>
    <w:p w:rsidR="004B6F5E" w:rsidRDefault="004B6F5E" w:rsidP="004B6F5E">
      <w:pPr>
        <w:jc w:val="center"/>
        <w:rPr>
          <w:color w:val="000000"/>
        </w:rPr>
      </w:pPr>
    </w:p>
    <w:p w:rsidR="004B6F5E" w:rsidRDefault="004B6F5E" w:rsidP="004B6F5E">
      <w:pPr>
        <w:ind w:firstLine="720"/>
        <w:rPr>
          <w:color w:val="000000"/>
        </w:rPr>
      </w:pPr>
      <w:r>
        <w:rPr>
          <w:color w:val="000000"/>
        </w:rPr>
        <w:t>Za stalnog sudskog tumača može se imenovati osoba koja ispunjava sljedeće uvjete:</w:t>
      </w:r>
    </w:p>
    <w:p w:rsidR="004B6F5E" w:rsidRDefault="004B6F5E" w:rsidP="004B6F5E">
      <w:pPr>
        <w:ind w:firstLine="720"/>
        <w:rPr>
          <w:color w:val="000000"/>
        </w:rPr>
      </w:pPr>
    </w:p>
    <w:p w:rsidR="004B6F5E" w:rsidRDefault="004B6F5E" w:rsidP="004B6F5E">
      <w:pPr>
        <w:numPr>
          <w:ilvl w:val="0"/>
          <w:numId w:val="1"/>
        </w:numPr>
        <w:rPr>
          <w:color w:val="000000"/>
        </w:rPr>
      </w:pPr>
      <w:r>
        <w:rPr>
          <w:color w:val="000000"/>
        </w:rPr>
        <w:t>da je državljanin Republike Hrvatske, državljanin države članice Europske unije ili državljanin države potpisnice Sporazuma o Europskom gospodarskom prostoru,</w:t>
      </w:r>
    </w:p>
    <w:p w:rsidR="004B6F5E" w:rsidRDefault="004B6F5E" w:rsidP="004B6F5E">
      <w:pPr>
        <w:numPr>
          <w:ilvl w:val="0"/>
          <w:numId w:val="1"/>
        </w:numPr>
      </w:pPr>
      <w:r>
        <w:rPr>
          <w:color w:val="000000"/>
        </w:rPr>
        <w:t xml:space="preserve">ima završen sveučilišni diplomski studij ili specijalistički diplomski stručni studij, </w:t>
      </w:r>
    </w:p>
    <w:p w:rsidR="004B6F5E" w:rsidRDefault="004B6F5E" w:rsidP="004B6F5E">
      <w:pPr>
        <w:numPr>
          <w:ilvl w:val="0"/>
          <w:numId w:val="1"/>
        </w:numPr>
      </w:pPr>
      <w:r>
        <w:t>zna hrvatski jezik, te potpuno vlada pojedinim stranim jezikom (</w:t>
      </w:r>
      <w:r>
        <w:rPr>
          <w:color w:val="000000"/>
        </w:rPr>
        <w:t>razina C2 prema Zajedničkom europskom referentnom okviru za jezike)</w:t>
      </w:r>
      <w:r>
        <w:t xml:space="preserve">, </w:t>
      </w:r>
    </w:p>
    <w:p w:rsidR="004B6F5E" w:rsidRDefault="004B6F5E" w:rsidP="004B6F5E">
      <w:pPr>
        <w:numPr>
          <w:ilvl w:val="0"/>
          <w:numId w:val="1"/>
        </w:numPr>
      </w:pPr>
      <w:r>
        <w:rPr>
          <w:color w:val="000000"/>
        </w:rPr>
        <w:t>poznaje ustrojstvo sudbene vlasti i državne uprave te pravno nazivlje,</w:t>
      </w:r>
    </w:p>
    <w:p w:rsidR="004B6F5E" w:rsidRDefault="004B6F5E" w:rsidP="004B6F5E">
      <w:pPr>
        <w:numPr>
          <w:ilvl w:val="0"/>
          <w:numId w:val="1"/>
        </w:numPr>
      </w:pPr>
      <w:r>
        <w:t>zdravstveno je sposobna za obavljanje poslova stalnog sudskog tumača.</w:t>
      </w:r>
    </w:p>
    <w:p w:rsidR="004B6F5E" w:rsidRDefault="004B6F5E" w:rsidP="004B6F5E">
      <w:pPr>
        <w:jc w:val="both"/>
        <w:rPr>
          <w:color w:val="000000"/>
        </w:rPr>
      </w:pPr>
    </w:p>
    <w:p w:rsidR="004B6F5E" w:rsidRDefault="004B6F5E" w:rsidP="004B6F5E">
      <w:pPr>
        <w:ind w:firstLine="720"/>
        <w:jc w:val="both"/>
        <w:rPr>
          <w:color w:val="000000"/>
        </w:rPr>
      </w:pPr>
      <w:r>
        <w:rPr>
          <w:color w:val="000000"/>
        </w:rPr>
        <w:t>Za stalnog sudskog tumača ne može se imenovati osoba za koju postoje zapreke za prijam u državnu službu.</w:t>
      </w:r>
    </w:p>
    <w:p w:rsidR="004B6F5E" w:rsidRDefault="004B6F5E" w:rsidP="004B6F5E">
      <w:pPr>
        <w:ind w:firstLine="720"/>
        <w:rPr>
          <w:color w:val="000000"/>
        </w:rPr>
      </w:pPr>
    </w:p>
    <w:p w:rsidR="004B6F5E" w:rsidRDefault="004B6F5E" w:rsidP="004B6F5E">
      <w:pPr>
        <w:ind w:firstLine="720"/>
        <w:jc w:val="both"/>
      </w:pPr>
      <w:r>
        <w:t>Državljani država članica Europske unije ili država potpisnica Sporazuma o Europskom gospodarskom prostoru koji su u svojoj matičnoj državi imenovani za stalne sudske tumače poslove stalnih sudskih tumača u Republici Hrvatskoj obavljaju u skladu s odlukom o imenovanju koju je donijelo nadležno tijelo u njihovoj matičnoj državi, na temelju rješenja Ministarstva pravosuđa kojim im se odobrava obavljanje poslova stalnih sudskih tumača za određeni jezik.</w:t>
      </w:r>
    </w:p>
    <w:p w:rsidR="004B6F5E" w:rsidRDefault="004B6F5E" w:rsidP="004B6F5E">
      <w:pPr>
        <w:jc w:val="center"/>
      </w:pPr>
      <w:r>
        <w:t>Članak 3.</w:t>
      </w:r>
    </w:p>
    <w:p w:rsidR="004B6F5E" w:rsidRDefault="004B6F5E" w:rsidP="004B6F5E">
      <w:pPr>
        <w:jc w:val="center"/>
      </w:pPr>
    </w:p>
    <w:p w:rsidR="004B6F5E" w:rsidRDefault="004B6F5E" w:rsidP="004B6F5E">
      <w:pPr>
        <w:ind w:firstLine="720"/>
        <w:jc w:val="both"/>
        <w:rPr>
          <w:color w:val="FF0000"/>
        </w:rPr>
      </w:pPr>
      <w:r>
        <w:rPr>
          <w:color w:val="000000"/>
        </w:rPr>
        <w:t xml:space="preserve">Pravne osobe ispunjavaju uvjete za obavljanje poslova </w:t>
      </w:r>
      <w:r>
        <w:t>sudskog tumačenja</w:t>
      </w:r>
      <w:r>
        <w:rPr>
          <w:color w:val="000000"/>
        </w:rPr>
        <w:t xml:space="preserve"> ako su u svojoj djelatnosti registrirane za obavljanje poslova</w:t>
      </w:r>
      <w:r>
        <w:t xml:space="preserve"> tumačenja</w:t>
      </w:r>
      <w:r>
        <w:rPr>
          <w:color w:val="000000"/>
        </w:rPr>
        <w:t xml:space="preserve"> za određeni jezik, a što dokazuju rješenjem iz nadležnog sudskog registra, te ako se utvrdi da su njihovi zaposlenici imenovani za stalne sudske tumače, što dokazuju rješenjem o imenovanju za stalnog sudskog tumača za područje </w:t>
      </w:r>
      <w:r>
        <w:t>određenog suda.</w:t>
      </w:r>
      <w:r>
        <w:rPr>
          <w:color w:val="FF0000"/>
        </w:rPr>
        <w:t xml:space="preserve"> </w:t>
      </w:r>
    </w:p>
    <w:p w:rsidR="004B6F5E" w:rsidRDefault="004B6F5E" w:rsidP="004B6F5E">
      <w:pPr>
        <w:rPr>
          <w:color w:val="000000"/>
        </w:rPr>
      </w:pPr>
    </w:p>
    <w:p w:rsidR="004B6F5E" w:rsidRDefault="004B6F5E" w:rsidP="004B6F5E">
      <w:pPr>
        <w:spacing w:after="240"/>
        <w:jc w:val="center"/>
        <w:rPr>
          <w:color w:val="000000"/>
        </w:rPr>
      </w:pPr>
      <w:r>
        <w:rPr>
          <w:color w:val="000000"/>
        </w:rPr>
        <w:t>POSTUPAK IMENOVANJA</w:t>
      </w:r>
    </w:p>
    <w:p w:rsidR="004B6F5E" w:rsidRDefault="004B6F5E" w:rsidP="004B6F5E">
      <w:pPr>
        <w:jc w:val="center"/>
        <w:rPr>
          <w:color w:val="000000"/>
        </w:rPr>
      </w:pPr>
      <w:r>
        <w:rPr>
          <w:color w:val="000000"/>
        </w:rPr>
        <w:t>Članak 4.</w:t>
      </w:r>
    </w:p>
    <w:p w:rsidR="004B6F5E" w:rsidRDefault="004B6F5E" w:rsidP="004B6F5E">
      <w:pPr>
        <w:jc w:val="center"/>
        <w:rPr>
          <w:color w:val="000000"/>
        </w:rPr>
      </w:pPr>
    </w:p>
    <w:p w:rsidR="004B6F5E" w:rsidRDefault="004B6F5E" w:rsidP="004B6F5E">
      <w:pPr>
        <w:ind w:firstLine="720"/>
        <w:jc w:val="both"/>
        <w:rPr>
          <w:color w:val="000000"/>
        </w:rPr>
      </w:pPr>
      <w:r>
        <w:rPr>
          <w:color w:val="000000"/>
        </w:rPr>
        <w:t>Postupak za imenovanje stalnih sudskih tumača pokreće se zahtjevom koji se podnosi predsjedniku županijskog suda nadležnog prema mjestu prebivališta ili boravišta podnositelja zahtjeva odnosno sjedištu pravne osobe.</w:t>
      </w:r>
    </w:p>
    <w:p w:rsidR="004B6F5E" w:rsidRDefault="004B6F5E" w:rsidP="004B6F5E">
      <w:pPr>
        <w:ind w:firstLine="720"/>
        <w:rPr>
          <w:color w:val="000000"/>
        </w:rPr>
      </w:pPr>
    </w:p>
    <w:p w:rsidR="004B6F5E" w:rsidRDefault="004B6F5E" w:rsidP="004B6F5E">
      <w:pPr>
        <w:ind w:firstLine="720"/>
        <w:jc w:val="both"/>
        <w:rPr>
          <w:color w:val="000000"/>
        </w:rPr>
      </w:pPr>
      <w:r>
        <w:rPr>
          <w:color w:val="000000"/>
        </w:rPr>
        <w:t xml:space="preserve">Zahtjevu se prilažu životopis te dokazi o ispunjavanju uvjeta iz članka 2. stavak 1. ovog Pravilnika. </w:t>
      </w:r>
    </w:p>
    <w:p w:rsidR="004B6F5E" w:rsidRDefault="004B6F5E" w:rsidP="004B6F5E">
      <w:pPr>
        <w:ind w:firstLine="720"/>
        <w:rPr>
          <w:color w:val="000000"/>
        </w:rPr>
      </w:pPr>
    </w:p>
    <w:p w:rsidR="004B6F5E" w:rsidRDefault="004B6F5E" w:rsidP="004B6F5E">
      <w:pPr>
        <w:pStyle w:val="odlomakpopisa1"/>
        <w:spacing w:after="0" w:line="240" w:lineRule="auto"/>
        <w:ind w:left="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Znanje jezika za kojeg kandidat traži imenovanje dokazuje se </w:t>
      </w:r>
      <w:r>
        <w:rPr>
          <w:rFonts w:ascii="Times New Roman" w:hAnsi="Times New Roman" w:cs="Times New Roman"/>
          <w:sz w:val="24"/>
          <w:szCs w:val="24"/>
        </w:rPr>
        <w:t xml:space="preserve">diplomom sveučilišnog diplomskog studija </w:t>
      </w:r>
      <w:r>
        <w:rPr>
          <w:rFonts w:ascii="Times New Roman" w:hAnsi="Times New Roman" w:cs="Times New Roman"/>
          <w:color w:val="000000"/>
          <w:sz w:val="24"/>
          <w:szCs w:val="24"/>
        </w:rPr>
        <w:t xml:space="preserve">za određeni jezik odnosno svjedodžbom priznatog ispita o znanju jezika najviše razine C2 prema Zajedničkom europskom referentnom okviru. </w:t>
      </w:r>
    </w:p>
    <w:p w:rsidR="004B6F5E" w:rsidRDefault="004B6F5E" w:rsidP="004B6F5E"/>
    <w:p w:rsidR="004B6F5E" w:rsidRDefault="004B6F5E" w:rsidP="004B6F5E">
      <w:pPr>
        <w:ind w:firstLine="720"/>
        <w:jc w:val="both"/>
      </w:pPr>
      <w:r>
        <w:t xml:space="preserve">Državljani država članica Europske unije i država potpisnica Sporazuma o Europskom gospodarskom prostoru dužni su dokaze o ispunjavanju uvjeta iz članka 2. ovog Pravilnika priložiti u izvorniku ili ovjerenoj preslici te ovjerenom prijevodu na hrvatski jezik. </w:t>
      </w:r>
    </w:p>
    <w:p w:rsidR="004B6F5E" w:rsidRDefault="004B6F5E" w:rsidP="004B6F5E"/>
    <w:p w:rsidR="004B6F5E" w:rsidRDefault="004B6F5E" w:rsidP="004B6F5E">
      <w:pPr>
        <w:ind w:firstLine="720"/>
        <w:jc w:val="both"/>
      </w:pPr>
      <w:r>
        <w:t>Zahtjev za imenovanje može podnijeti i pravna osoba za svog zaposlenika pod uvjetom da je zaposlenik dao svoj pristanak u pisanom obliku i da ispunjava uvjete iz članka 2. ovog Pravilnika.</w:t>
      </w:r>
    </w:p>
    <w:p w:rsidR="004B6F5E" w:rsidRDefault="004B6F5E" w:rsidP="004B6F5E">
      <w:pPr>
        <w:jc w:val="center"/>
      </w:pPr>
      <w:r>
        <w:t>Članak 5.</w:t>
      </w:r>
    </w:p>
    <w:p w:rsidR="004B6F5E" w:rsidRDefault="004B6F5E" w:rsidP="004B6F5E">
      <w:pPr>
        <w:jc w:val="center"/>
      </w:pPr>
    </w:p>
    <w:p w:rsidR="004B6F5E" w:rsidRDefault="004B6F5E" w:rsidP="004B6F5E">
      <w:pPr>
        <w:ind w:firstLine="720"/>
        <w:jc w:val="both"/>
      </w:pPr>
      <w:r>
        <w:t>Nakon što utvrdi da kandidat ispunjava uvjete iz članka 2. ovog Pravilnika  predsjednik županijskog suda uputit će kandidata na provjeru znanja o ustrojstvu sudbene vlasti i državne uprave te poznavanju pravnog nazivlja.</w:t>
      </w:r>
    </w:p>
    <w:p w:rsidR="004B6F5E" w:rsidRDefault="004B6F5E" w:rsidP="004B6F5E">
      <w:pPr>
        <w:ind w:firstLine="720"/>
      </w:pPr>
    </w:p>
    <w:p w:rsidR="004B6F5E" w:rsidRDefault="004B6F5E" w:rsidP="004B6F5E">
      <w:pPr>
        <w:ind w:firstLine="720"/>
        <w:jc w:val="both"/>
      </w:pPr>
      <w:r>
        <w:t>Kandidat za stalnog sudskog tumača koji je diplomirani prav</w:t>
      </w:r>
      <w:r>
        <w:softHyphen/>
      </w:r>
      <w:proofErr w:type="spellStart"/>
      <w:r>
        <w:t>nik</w:t>
      </w:r>
      <w:proofErr w:type="spellEnd"/>
      <w:r>
        <w:t xml:space="preserve"> odnosno magistar prava te već imenovani stalni sudski tumač za određeni jezik ne podliježu provjeri znanja iz stavka 1. ovog članka. </w:t>
      </w:r>
    </w:p>
    <w:p w:rsidR="004B6F5E" w:rsidRDefault="004B6F5E" w:rsidP="004B6F5E"/>
    <w:p w:rsidR="004B6F5E" w:rsidRDefault="004B6F5E" w:rsidP="004B6F5E">
      <w:pPr>
        <w:ind w:firstLine="720"/>
        <w:jc w:val="both"/>
      </w:pPr>
      <w:r>
        <w:t>Kandidata koji zadovolji na provjeri znanja iz stavka 1. ovog članka predsjednik županijskog suda uputit će na stručnu obuku u jednu od strukovnih udruga stalnih sudskih tumača.</w:t>
      </w:r>
    </w:p>
    <w:p w:rsidR="004B6F5E" w:rsidRDefault="004B6F5E" w:rsidP="004B6F5E">
      <w:pPr>
        <w:jc w:val="center"/>
        <w:rPr>
          <w:color w:val="000000"/>
        </w:rPr>
      </w:pPr>
      <w:r>
        <w:rPr>
          <w:color w:val="000000"/>
        </w:rPr>
        <w:t>Članak 6.</w:t>
      </w:r>
    </w:p>
    <w:p w:rsidR="004B6F5E" w:rsidRDefault="004B6F5E" w:rsidP="004B6F5E">
      <w:pPr>
        <w:jc w:val="center"/>
        <w:rPr>
          <w:color w:val="000000"/>
        </w:rPr>
      </w:pPr>
    </w:p>
    <w:p w:rsidR="004B6F5E" w:rsidRDefault="004B6F5E" w:rsidP="004B6F5E">
      <w:pPr>
        <w:ind w:firstLine="720"/>
        <w:jc w:val="both"/>
      </w:pPr>
      <w:r>
        <w:t>Provjera znanja iz članka 5. stavak 1. ovog Pravilnika obavlja se pred Povjerenstvom za provjeru znanja (u da</w:t>
      </w:r>
      <w:r>
        <w:softHyphen/>
      </w:r>
      <w:proofErr w:type="spellStart"/>
      <w:r>
        <w:t>ljnjem</w:t>
      </w:r>
      <w:proofErr w:type="spellEnd"/>
      <w:r>
        <w:t xml:space="preserve"> tekstu: Povjerenstvo) koje se osniva pri županijskom sudu  prema programu kojeg propisuje ministar pravosuđa.</w:t>
      </w:r>
    </w:p>
    <w:p w:rsidR="004B6F5E" w:rsidRDefault="004B6F5E" w:rsidP="004B6F5E">
      <w:pPr>
        <w:ind w:firstLine="720"/>
      </w:pPr>
    </w:p>
    <w:p w:rsidR="004B6F5E" w:rsidRDefault="004B6F5E" w:rsidP="004B6F5E">
      <w:pPr>
        <w:ind w:firstLine="720"/>
        <w:rPr>
          <w:color w:val="000000"/>
        </w:rPr>
      </w:pPr>
      <w:r>
        <w:rPr>
          <w:color w:val="000000"/>
        </w:rPr>
        <w:t>Povjerenstvo ima predsjednika i dva člana.</w:t>
      </w:r>
    </w:p>
    <w:p w:rsidR="004B6F5E" w:rsidRDefault="004B6F5E" w:rsidP="004B6F5E">
      <w:pPr>
        <w:ind w:firstLine="720"/>
        <w:rPr>
          <w:color w:val="000000"/>
        </w:rPr>
      </w:pPr>
    </w:p>
    <w:p w:rsidR="004B6F5E" w:rsidRDefault="004B6F5E" w:rsidP="004B6F5E">
      <w:pPr>
        <w:ind w:firstLine="720"/>
        <w:jc w:val="both"/>
        <w:rPr>
          <w:color w:val="000000"/>
        </w:rPr>
      </w:pPr>
      <w:r>
        <w:rPr>
          <w:color w:val="000000"/>
        </w:rPr>
        <w:t>Predsjednika i članove Povjerenstva imenuje predsjednik županijskog suda iz reda sudaca tog suda na vrijeme od dvije godine.</w:t>
      </w:r>
    </w:p>
    <w:p w:rsidR="004B6F5E" w:rsidRDefault="004B6F5E" w:rsidP="004B6F5E">
      <w:pPr>
        <w:ind w:firstLine="720"/>
        <w:rPr>
          <w:color w:val="000000"/>
        </w:rPr>
      </w:pPr>
    </w:p>
    <w:p w:rsidR="004B6F5E" w:rsidRDefault="004B6F5E" w:rsidP="004B6F5E">
      <w:pPr>
        <w:ind w:firstLine="720"/>
        <w:jc w:val="both"/>
        <w:rPr>
          <w:color w:val="000000"/>
        </w:rPr>
      </w:pPr>
      <w:r>
        <w:rPr>
          <w:color w:val="000000"/>
        </w:rPr>
        <w:t>Predsjednik i članovi Povjerenstva imaju pravo na nagradu za rad u Povjerenstvu. Visinu nagrade određuje ministar pravosuđa, a snosi je kandidat za stalnog sudskog tumača.</w:t>
      </w:r>
    </w:p>
    <w:p w:rsidR="004B6F5E" w:rsidRDefault="004B6F5E" w:rsidP="004B6F5E">
      <w:pPr>
        <w:ind w:firstLine="720"/>
        <w:rPr>
          <w:color w:val="000000"/>
        </w:rPr>
      </w:pPr>
    </w:p>
    <w:p w:rsidR="004B6F5E" w:rsidRDefault="004B6F5E" w:rsidP="004B6F5E">
      <w:pPr>
        <w:jc w:val="center"/>
        <w:rPr>
          <w:color w:val="000000"/>
        </w:rPr>
      </w:pPr>
      <w:r>
        <w:rPr>
          <w:color w:val="000000"/>
        </w:rPr>
        <w:lastRenderedPageBreak/>
        <w:t>Članak 7.</w:t>
      </w:r>
    </w:p>
    <w:p w:rsidR="004B6F5E" w:rsidRDefault="004B6F5E" w:rsidP="004B6F5E">
      <w:pPr>
        <w:jc w:val="center"/>
        <w:rPr>
          <w:color w:val="000000"/>
        </w:rPr>
      </w:pPr>
    </w:p>
    <w:p w:rsidR="004B6F5E" w:rsidRDefault="004B6F5E" w:rsidP="004B6F5E">
      <w:pPr>
        <w:ind w:firstLine="720"/>
        <w:jc w:val="both"/>
        <w:rPr>
          <w:color w:val="000000"/>
        </w:rPr>
      </w:pPr>
      <w:r>
        <w:rPr>
          <w:color w:val="000000"/>
        </w:rPr>
        <w:t>Provjera znanja kandidata iz članka 5. stavak 1. ovog Pravilnika obavlja se usmeno.</w:t>
      </w:r>
    </w:p>
    <w:p w:rsidR="004B6F5E" w:rsidRDefault="004B6F5E" w:rsidP="004B6F5E">
      <w:pPr>
        <w:rPr>
          <w:color w:val="000000"/>
        </w:rPr>
      </w:pPr>
    </w:p>
    <w:p w:rsidR="004B6F5E" w:rsidRDefault="004B6F5E" w:rsidP="004B6F5E">
      <w:pPr>
        <w:ind w:firstLine="720"/>
        <w:jc w:val="both"/>
        <w:rPr>
          <w:color w:val="000000"/>
        </w:rPr>
      </w:pPr>
      <w:r>
        <w:rPr>
          <w:color w:val="000000"/>
        </w:rPr>
        <w:t>Za svakog kandidata vodi se zapisnik o radu Povjerenstva koji sadrži: ime, prezime i adresu kandidata, sastav Povjerenstva te datum, tijek i rezultat provjere znanja.</w:t>
      </w:r>
    </w:p>
    <w:p w:rsidR="004B6F5E" w:rsidRDefault="004B6F5E" w:rsidP="004B6F5E">
      <w:pPr>
        <w:rPr>
          <w:color w:val="000000"/>
        </w:rPr>
      </w:pPr>
    </w:p>
    <w:p w:rsidR="004B6F5E" w:rsidRDefault="004B6F5E" w:rsidP="004B6F5E">
      <w:pPr>
        <w:ind w:firstLine="720"/>
        <w:jc w:val="both"/>
        <w:rPr>
          <w:color w:val="000000"/>
        </w:rPr>
      </w:pPr>
      <w:r>
        <w:rPr>
          <w:color w:val="000000"/>
        </w:rPr>
        <w:t>Povjerenstvo ocjenjuje rezultat provjere znanja te utvrđuje je li kandidat na provjeri znanja „zadovoljio“ ili „nije zadovoljio“.</w:t>
      </w:r>
    </w:p>
    <w:p w:rsidR="004B6F5E" w:rsidRDefault="004B6F5E" w:rsidP="004B6F5E">
      <w:pPr>
        <w:jc w:val="center"/>
        <w:rPr>
          <w:color w:val="000000"/>
        </w:rPr>
      </w:pPr>
    </w:p>
    <w:p w:rsidR="004B6F5E" w:rsidRDefault="004B6F5E" w:rsidP="004B6F5E">
      <w:pPr>
        <w:jc w:val="center"/>
        <w:rPr>
          <w:color w:val="000000"/>
        </w:rPr>
      </w:pPr>
      <w:r>
        <w:rPr>
          <w:color w:val="000000"/>
        </w:rPr>
        <w:t xml:space="preserve">Članak 8. </w:t>
      </w:r>
    </w:p>
    <w:p w:rsidR="004B6F5E" w:rsidRDefault="004B6F5E" w:rsidP="004B6F5E">
      <w:pPr>
        <w:jc w:val="center"/>
        <w:rPr>
          <w:color w:val="000000"/>
        </w:rPr>
      </w:pPr>
    </w:p>
    <w:p w:rsidR="004B6F5E" w:rsidRDefault="004B6F5E" w:rsidP="004B6F5E">
      <w:pPr>
        <w:ind w:firstLine="720"/>
        <w:jc w:val="both"/>
        <w:rPr>
          <w:color w:val="000000"/>
        </w:rPr>
      </w:pPr>
      <w:r>
        <w:rPr>
          <w:color w:val="000000"/>
        </w:rPr>
        <w:t xml:space="preserve">Kandidat koji na provjeri znanja nije zadovoljio može se </w:t>
      </w:r>
      <w:proofErr w:type="spellStart"/>
      <w:r>
        <w:rPr>
          <w:color w:val="000000"/>
        </w:rPr>
        <w:t>ponov</w:t>
      </w:r>
      <w:proofErr w:type="spellEnd"/>
      <w:r>
        <w:rPr>
          <w:color w:val="000000"/>
        </w:rPr>
        <w:softHyphen/>
        <w:t>no prijaviti na provjeru znanja nakon isteka roka od tri mjeseca od dana održavanja provjere.</w:t>
      </w:r>
    </w:p>
    <w:p w:rsidR="004B6F5E" w:rsidRDefault="004B6F5E" w:rsidP="004B6F5E">
      <w:pPr>
        <w:rPr>
          <w:color w:val="000000"/>
        </w:rPr>
      </w:pPr>
    </w:p>
    <w:p w:rsidR="004B6F5E" w:rsidRDefault="004B6F5E" w:rsidP="004B6F5E">
      <w:pPr>
        <w:jc w:val="center"/>
        <w:rPr>
          <w:color w:val="000000"/>
        </w:rPr>
      </w:pPr>
      <w:r>
        <w:rPr>
          <w:color w:val="000000"/>
        </w:rPr>
        <w:t>Članak 9.</w:t>
      </w:r>
    </w:p>
    <w:p w:rsidR="004B6F5E" w:rsidRDefault="004B6F5E" w:rsidP="004B6F5E">
      <w:pPr>
        <w:jc w:val="center"/>
        <w:rPr>
          <w:color w:val="000000"/>
        </w:rPr>
      </w:pPr>
    </w:p>
    <w:p w:rsidR="004B6F5E" w:rsidRDefault="004B6F5E" w:rsidP="004B6F5E">
      <w:pPr>
        <w:ind w:firstLine="720"/>
        <w:jc w:val="both"/>
        <w:rPr>
          <w:color w:val="000000"/>
        </w:rPr>
      </w:pPr>
      <w:r>
        <w:rPr>
          <w:color w:val="000000"/>
        </w:rPr>
        <w:t>Stručna obuka kandidata za stalnog sudskog  tumača obavlja se prema programu kojeg donose strukovne udruge stalnih sudskih tumača. Udruga koja provodi stručnu obuku dužna je u roku od 30 dana od završetka stručne obuke dostaviti izvješće za svakog kandidata nadležnom županijskom sudu.</w:t>
      </w:r>
    </w:p>
    <w:p w:rsidR="004B6F5E" w:rsidRDefault="004B6F5E" w:rsidP="004B6F5E">
      <w:pPr>
        <w:rPr>
          <w:color w:val="000000"/>
        </w:rPr>
      </w:pPr>
    </w:p>
    <w:p w:rsidR="004B6F5E" w:rsidRDefault="004B6F5E" w:rsidP="004B6F5E">
      <w:pPr>
        <w:ind w:firstLine="720"/>
        <w:jc w:val="both"/>
        <w:rPr>
          <w:color w:val="000000"/>
        </w:rPr>
      </w:pPr>
      <w:r>
        <w:rPr>
          <w:color w:val="000000"/>
        </w:rPr>
        <w:t xml:space="preserve">Program obuke na zahtjev pojedine udruge odobrava Ministarstvo pravosuđa. </w:t>
      </w:r>
    </w:p>
    <w:p w:rsidR="004B6F5E" w:rsidRDefault="004B6F5E" w:rsidP="004B6F5E">
      <w:pPr>
        <w:ind w:firstLine="720"/>
        <w:rPr>
          <w:color w:val="000000"/>
        </w:rPr>
      </w:pPr>
    </w:p>
    <w:p w:rsidR="004B6F5E" w:rsidRDefault="004B6F5E" w:rsidP="004B6F5E">
      <w:pPr>
        <w:pStyle w:val="t-9-8"/>
        <w:spacing w:before="0" w:beforeAutospacing="0" w:after="0" w:afterAutospacing="0"/>
        <w:ind w:firstLine="720"/>
        <w:jc w:val="both"/>
        <w:rPr>
          <w:color w:val="000000"/>
        </w:rPr>
      </w:pPr>
      <w:r>
        <w:rPr>
          <w:color w:val="000000"/>
        </w:rPr>
        <w:t>Nadzor nad provođenjem stručne obuke stalnih sudskih tumača u odgovarajućoj strukovnoj udruzi obavljaju Ministarstvo pravosuđa i nadležni županijski sud prema rasporedu kojeg donosi ministar pravosuđa. O provedenom nadzoru sastavlja se pisano izvješće.</w:t>
      </w:r>
    </w:p>
    <w:p w:rsidR="004B6F5E" w:rsidRDefault="004B6F5E" w:rsidP="004B6F5E">
      <w:pPr>
        <w:ind w:firstLine="720"/>
        <w:rPr>
          <w:color w:val="FF0000"/>
        </w:rPr>
      </w:pPr>
    </w:p>
    <w:p w:rsidR="004B6F5E" w:rsidRDefault="004B6F5E" w:rsidP="004B6F5E">
      <w:pPr>
        <w:jc w:val="center"/>
        <w:rPr>
          <w:color w:val="000000"/>
        </w:rPr>
      </w:pPr>
      <w:r>
        <w:rPr>
          <w:color w:val="000000"/>
        </w:rPr>
        <w:t>Članak 10.</w:t>
      </w:r>
    </w:p>
    <w:p w:rsidR="004B6F5E" w:rsidRDefault="004B6F5E" w:rsidP="004B6F5E">
      <w:pPr>
        <w:jc w:val="center"/>
        <w:rPr>
          <w:color w:val="000000"/>
        </w:rPr>
      </w:pPr>
    </w:p>
    <w:p w:rsidR="004B6F5E" w:rsidRDefault="004B6F5E" w:rsidP="004B6F5E">
      <w:pPr>
        <w:ind w:firstLine="720"/>
        <w:jc w:val="both"/>
      </w:pPr>
      <w:r>
        <w:rPr>
          <w:color w:val="000000"/>
        </w:rPr>
        <w:t>Predsjednik županijskog su</w:t>
      </w:r>
      <w:r>
        <w:rPr>
          <w:color w:val="000000"/>
        </w:rPr>
        <w:softHyphen/>
        <w:t xml:space="preserve">da odlučuje o zahtjevu nakon provedenog postupka i </w:t>
      </w:r>
      <w:r>
        <w:t xml:space="preserve">prikupljenih podataka. </w:t>
      </w:r>
    </w:p>
    <w:p w:rsidR="004B6F5E" w:rsidRDefault="004B6F5E" w:rsidP="004B6F5E">
      <w:pPr>
        <w:rPr>
          <w:color w:val="000000"/>
        </w:rPr>
      </w:pPr>
    </w:p>
    <w:p w:rsidR="004B6F5E" w:rsidRDefault="004B6F5E" w:rsidP="004B6F5E">
      <w:pPr>
        <w:ind w:firstLine="720"/>
        <w:rPr>
          <w:color w:val="000000"/>
        </w:rPr>
      </w:pPr>
      <w:r>
        <w:rPr>
          <w:color w:val="000000"/>
        </w:rPr>
        <w:t>O zahtjevu se odlučuje rješenjem.</w:t>
      </w:r>
    </w:p>
    <w:p w:rsidR="004B6F5E" w:rsidRDefault="004B6F5E" w:rsidP="004B6F5E">
      <w:pPr>
        <w:rPr>
          <w:color w:val="000000"/>
        </w:rPr>
      </w:pPr>
    </w:p>
    <w:p w:rsidR="004B6F5E" w:rsidRDefault="004B6F5E" w:rsidP="004B6F5E">
      <w:pPr>
        <w:ind w:firstLine="720"/>
        <w:jc w:val="both"/>
        <w:rPr>
          <w:color w:val="000000"/>
        </w:rPr>
      </w:pPr>
      <w:r>
        <w:rPr>
          <w:color w:val="000000"/>
        </w:rPr>
        <w:t>Protiv rješenja iz stavka 2.ovog članka dopuštena je žalba Ministarstvu pravosuđa u roku od 15 dana od dostave rješenja.</w:t>
      </w:r>
    </w:p>
    <w:p w:rsidR="004B6F5E" w:rsidRDefault="004B6F5E" w:rsidP="004B6F5E">
      <w:pPr>
        <w:ind w:firstLine="720"/>
        <w:rPr>
          <w:color w:val="000000"/>
        </w:rPr>
      </w:pPr>
    </w:p>
    <w:p w:rsidR="004B6F5E" w:rsidRDefault="004B6F5E" w:rsidP="004B6F5E">
      <w:pPr>
        <w:jc w:val="center"/>
        <w:rPr>
          <w:color w:val="000000"/>
        </w:rPr>
      </w:pPr>
      <w:r>
        <w:rPr>
          <w:color w:val="000000"/>
        </w:rPr>
        <w:t>Članak 11.</w:t>
      </w:r>
    </w:p>
    <w:p w:rsidR="004B6F5E" w:rsidRDefault="004B6F5E" w:rsidP="004B6F5E">
      <w:pPr>
        <w:jc w:val="center"/>
        <w:rPr>
          <w:color w:val="000000"/>
        </w:rPr>
      </w:pPr>
    </w:p>
    <w:p w:rsidR="004B6F5E" w:rsidRDefault="004B6F5E" w:rsidP="004B6F5E">
      <w:pPr>
        <w:ind w:firstLine="720"/>
        <w:jc w:val="both"/>
        <w:rPr>
          <w:color w:val="000000"/>
        </w:rPr>
      </w:pPr>
      <w:r>
        <w:rPr>
          <w:color w:val="000000"/>
        </w:rPr>
        <w:t>Predsjednik županijskog suda donijet će rješenje kojim se zahtjev  kandidata odbija:</w:t>
      </w:r>
    </w:p>
    <w:p w:rsidR="004B6F5E" w:rsidRDefault="004B6F5E" w:rsidP="004B6F5E">
      <w:pPr>
        <w:ind w:firstLine="720"/>
        <w:rPr>
          <w:color w:val="000000"/>
        </w:rPr>
      </w:pPr>
    </w:p>
    <w:p w:rsidR="004B6F5E" w:rsidRDefault="004B6F5E" w:rsidP="004B6F5E">
      <w:pPr>
        <w:ind w:left="720"/>
        <w:rPr>
          <w:color w:val="000000"/>
        </w:rPr>
      </w:pPr>
      <w:r>
        <w:rPr>
          <w:color w:val="000000"/>
        </w:rPr>
        <w:t>– ako ne ispunjava uvjete iz članka 2. ovog Pravilnika,</w:t>
      </w:r>
    </w:p>
    <w:p w:rsidR="004B6F5E" w:rsidRDefault="004B6F5E" w:rsidP="004B6F5E">
      <w:pPr>
        <w:ind w:left="720"/>
        <w:rPr>
          <w:color w:val="000000"/>
        </w:rPr>
      </w:pPr>
      <w:r>
        <w:rPr>
          <w:color w:val="000000"/>
        </w:rPr>
        <w:t>– ako ne zadovolji na provjeri znanja iz članka 5. stavak 1. ovog Pravilnika,</w:t>
      </w:r>
    </w:p>
    <w:p w:rsidR="004B6F5E" w:rsidRDefault="004B6F5E" w:rsidP="004B6F5E">
      <w:pPr>
        <w:ind w:left="720"/>
        <w:jc w:val="both"/>
        <w:rPr>
          <w:color w:val="000000"/>
        </w:rPr>
      </w:pPr>
      <w:r>
        <w:rPr>
          <w:color w:val="000000"/>
        </w:rPr>
        <w:t>– ako ne obavi stručnu obuku u jednoj od strukovnih udruga stalnih sudskih tumača.</w:t>
      </w:r>
    </w:p>
    <w:p w:rsidR="004B6F5E" w:rsidRDefault="004B6F5E" w:rsidP="004B6F5E">
      <w:pPr>
        <w:ind w:left="720"/>
        <w:rPr>
          <w:color w:val="000000"/>
        </w:rPr>
      </w:pPr>
    </w:p>
    <w:p w:rsidR="004B6F5E" w:rsidRDefault="004B6F5E" w:rsidP="004B6F5E">
      <w:pPr>
        <w:jc w:val="center"/>
        <w:rPr>
          <w:color w:val="000000"/>
        </w:rPr>
      </w:pPr>
      <w:r>
        <w:rPr>
          <w:color w:val="000000"/>
        </w:rPr>
        <w:t>Članak 12.</w:t>
      </w:r>
    </w:p>
    <w:p w:rsidR="004B6F5E" w:rsidRDefault="004B6F5E" w:rsidP="004B6F5E">
      <w:pPr>
        <w:jc w:val="center"/>
        <w:rPr>
          <w:color w:val="000000"/>
        </w:rPr>
      </w:pPr>
    </w:p>
    <w:p w:rsidR="004B6F5E" w:rsidRDefault="004B6F5E" w:rsidP="004B6F5E">
      <w:pPr>
        <w:ind w:firstLine="720"/>
        <w:jc w:val="both"/>
        <w:rPr>
          <w:color w:val="000000"/>
        </w:rPr>
      </w:pPr>
      <w:r>
        <w:rPr>
          <w:color w:val="000000"/>
        </w:rPr>
        <w:lastRenderedPageBreak/>
        <w:t>Ako kandidat ispunjava uvjete iz članka 2. ovog Pravilnika,  na provjeri znanja bude ocijenjen s ocjenom „zadovoljio“ i uspješno obavi stručnu obuku, predsjednik županijskog suda donijet će rješenje o njegovom imenovanju za stalnog sudskog tumača.</w:t>
      </w:r>
    </w:p>
    <w:p w:rsidR="004B6F5E" w:rsidRDefault="004B6F5E" w:rsidP="004B6F5E">
      <w:pPr>
        <w:ind w:left="720"/>
        <w:rPr>
          <w:color w:val="000000"/>
          <w:sz w:val="27"/>
          <w:szCs w:val="27"/>
        </w:rPr>
      </w:pPr>
      <w:r>
        <w:rPr>
          <w:color w:val="000000"/>
        </w:rPr>
        <w:br/>
        <w:t>Stalni sudski tumač imenuje se na vrijeme od četiri godine</w:t>
      </w:r>
      <w:r>
        <w:rPr>
          <w:color w:val="000000"/>
          <w:sz w:val="27"/>
          <w:szCs w:val="27"/>
        </w:rPr>
        <w:t>.</w:t>
      </w:r>
    </w:p>
    <w:p w:rsidR="004B6F5E" w:rsidRDefault="004B6F5E" w:rsidP="004B6F5E">
      <w:pPr>
        <w:ind w:left="720"/>
        <w:rPr>
          <w:color w:val="FF0000"/>
          <w:sz w:val="27"/>
          <w:szCs w:val="27"/>
        </w:rPr>
      </w:pPr>
    </w:p>
    <w:p w:rsidR="004B6F5E" w:rsidRDefault="004B6F5E" w:rsidP="004B6F5E">
      <w:pPr>
        <w:jc w:val="center"/>
        <w:rPr>
          <w:color w:val="000000"/>
        </w:rPr>
      </w:pPr>
      <w:r>
        <w:rPr>
          <w:color w:val="000000"/>
        </w:rPr>
        <w:t>Članak 13.</w:t>
      </w:r>
    </w:p>
    <w:p w:rsidR="004B6F5E" w:rsidRDefault="004B6F5E" w:rsidP="004B6F5E">
      <w:pPr>
        <w:jc w:val="center"/>
        <w:rPr>
          <w:color w:val="000000"/>
        </w:rPr>
      </w:pPr>
    </w:p>
    <w:p w:rsidR="004B6F5E" w:rsidRDefault="004B6F5E" w:rsidP="004B6F5E">
      <w:pPr>
        <w:ind w:firstLine="720"/>
        <w:jc w:val="both"/>
        <w:rPr>
          <w:color w:val="000000"/>
        </w:rPr>
      </w:pPr>
      <w:r>
        <w:rPr>
          <w:color w:val="000000"/>
        </w:rPr>
        <w:t>Osoba imenovana za stalnog sudskog tumača pred predsjednikom županijskog suda daje prisegu.</w:t>
      </w:r>
    </w:p>
    <w:p w:rsidR="004B6F5E" w:rsidRDefault="004B6F5E" w:rsidP="004B6F5E">
      <w:pPr>
        <w:rPr>
          <w:color w:val="000000"/>
        </w:rPr>
      </w:pPr>
    </w:p>
    <w:p w:rsidR="004B6F5E" w:rsidRDefault="004B6F5E" w:rsidP="004B6F5E">
      <w:pPr>
        <w:ind w:firstLine="720"/>
        <w:rPr>
          <w:color w:val="000000"/>
        </w:rPr>
      </w:pPr>
      <w:r>
        <w:rPr>
          <w:color w:val="000000"/>
        </w:rPr>
        <w:t>Sadržaj prisege glasi:</w:t>
      </w:r>
    </w:p>
    <w:p w:rsidR="004B6F5E" w:rsidRDefault="004B6F5E" w:rsidP="004B6F5E">
      <w:pPr>
        <w:ind w:firstLine="720"/>
        <w:jc w:val="both"/>
        <w:rPr>
          <w:color w:val="000000"/>
        </w:rPr>
      </w:pPr>
      <w:r>
        <w:rPr>
          <w:color w:val="000000"/>
        </w:rPr>
        <w:t>„Prisežem svojom čašću da ću dužnost stalnog sudskog tumača obavljati stručno, savjesno i po svom najboljem znanju“.</w:t>
      </w:r>
    </w:p>
    <w:p w:rsidR="004B6F5E" w:rsidRDefault="004B6F5E" w:rsidP="004B6F5E">
      <w:pPr>
        <w:ind w:firstLine="720"/>
        <w:rPr>
          <w:color w:val="000000"/>
        </w:rPr>
      </w:pPr>
    </w:p>
    <w:p w:rsidR="004B6F5E" w:rsidRDefault="004B6F5E" w:rsidP="004B6F5E">
      <w:pPr>
        <w:ind w:firstLine="720"/>
        <w:rPr>
          <w:color w:val="000000"/>
        </w:rPr>
      </w:pPr>
      <w:r>
        <w:rPr>
          <w:color w:val="000000"/>
        </w:rPr>
        <w:t>Stalni sudski tumač potpisat će prisegu.</w:t>
      </w:r>
    </w:p>
    <w:p w:rsidR="004B6F5E" w:rsidRDefault="004B6F5E" w:rsidP="004B6F5E">
      <w:pPr>
        <w:ind w:firstLine="720"/>
        <w:rPr>
          <w:color w:val="000000"/>
        </w:rPr>
      </w:pPr>
    </w:p>
    <w:p w:rsidR="004B6F5E" w:rsidRDefault="004B6F5E" w:rsidP="004B6F5E">
      <w:pPr>
        <w:jc w:val="center"/>
        <w:rPr>
          <w:color w:val="000000"/>
        </w:rPr>
      </w:pPr>
      <w:r>
        <w:rPr>
          <w:color w:val="000000"/>
        </w:rPr>
        <w:t>Članak 14.</w:t>
      </w:r>
    </w:p>
    <w:p w:rsidR="004B6F5E" w:rsidRDefault="004B6F5E" w:rsidP="004B6F5E">
      <w:pPr>
        <w:jc w:val="center"/>
        <w:rPr>
          <w:color w:val="000000"/>
        </w:rPr>
      </w:pPr>
    </w:p>
    <w:p w:rsidR="004B6F5E" w:rsidRDefault="004B6F5E" w:rsidP="004B6F5E">
      <w:pPr>
        <w:ind w:firstLine="720"/>
        <w:jc w:val="both"/>
        <w:rPr>
          <w:color w:val="000000"/>
        </w:rPr>
      </w:pPr>
      <w:r>
        <w:rPr>
          <w:color w:val="000000"/>
        </w:rPr>
        <w:t>Nakon proteka vremena na koje je imenovan stalni sudski tumač može biti ponovno imenovan na vrijeme od četiri godine.</w:t>
      </w:r>
    </w:p>
    <w:p w:rsidR="004B6F5E" w:rsidRDefault="004B6F5E" w:rsidP="004B6F5E">
      <w:pPr>
        <w:rPr>
          <w:color w:val="000000"/>
        </w:rPr>
      </w:pPr>
    </w:p>
    <w:p w:rsidR="004B6F5E" w:rsidRDefault="004B6F5E" w:rsidP="004B6F5E">
      <w:pPr>
        <w:ind w:firstLine="720"/>
        <w:jc w:val="both"/>
        <w:rPr>
          <w:color w:val="000000"/>
        </w:rPr>
      </w:pPr>
      <w:r>
        <w:rPr>
          <w:color w:val="000000"/>
        </w:rPr>
        <w:t>Zahtjev za ponovno imenovanje podnosi se najkasnije 30 dana prije isteka roka na koji je imenovan.</w:t>
      </w:r>
    </w:p>
    <w:p w:rsidR="004B6F5E" w:rsidRDefault="004B6F5E" w:rsidP="004B6F5E">
      <w:pPr>
        <w:rPr>
          <w:color w:val="000000"/>
        </w:rPr>
      </w:pPr>
    </w:p>
    <w:p w:rsidR="004B6F5E" w:rsidRDefault="004B6F5E" w:rsidP="004B6F5E">
      <w:pPr>
        <w:ind w:firstLine="720"/>
        <w:jc w:val="both"/>
        <w:rPr>
          <w:color w:val="000000"/>
        </w:rPr>
      </w:pPr>
      <w:r>
        <w:rPr>
          <w:color w:val="000000"/>
        </w:rPr>
        <w:t xml:space="preserve">Uz zahtjev za ponovno imenovanje stalni sudski tumač dužan je dostaviti dokaz o imenovanju za stalnog sudskog tumača iz prethodnog </w:t>
      </w:r>
      <w:r>
        <w:t xml:space="preserve">mandata, </w:t>
      </w:r>
      <w:r>
        <w:rPr>
          <w:color w:val="000000"/>
        </w:rPr>
        <w:t>dokaz da je zdravstveno sposoban za obavljanje poslova stalnog sudskog tumača i popis izvršenih prijevoda.</w:t>
      </w:r>
    </w:p>
    <w:p w:rsidR="004B6F5E" w:rsidRDefault="004B6F5E" w:rsidP="004B6F5E">
      <w:pPr>
        <w:spacing w:before="120"/>
        <w:ind w:firstLine="720"/>
        <w:jc w:val="both"/>
        <w:rPr>
          <w:color w:val="000000"/>
        </w:rPr>
      </w:pPr>
      <w:r>
        <w:rPr>
          <w:color w:val="000000"/>
        </w:rPr>
        <w:t>Za stalnog sudskog tumača ne može se ponovno imenovati osoba za koju postoje zapreke za prijam u državnu službu. Prije ponovnog imenovanja za stalnog sudskog vještaka predsjednik nadležnog županijskog suda utvrdit će da se protiv kandidata ne vodi kazneni postupak i da nije pravomoćno osuđen za kazneno djelo koje je zapreka za prijam u državnu službu.</w:t>
      </w:r>
    </w:p>
    <w:p w:rsidR="004B6F5E" w:rsidRDefault="004B6F5E" w:rsidP="004B6F5E">
      <w:pPr>
        <w:spacing w:before="120"/>
      </w:pPr>
    </w:p>
    <w:p w:rsidR="004B6F5E" w:rsidRDefault="004B6F5E" w:rsidP="004B6F5E">
      <w:pPr>
        <w:ind w:firstLine="720"/>
      </w:pPr>
      <w:r>
        <w:t>Predsjednik suda donijet će rješenje o ponovnom imenovanju.</w:t>
      </w:r>
    </w:p>
    <w:p w:rsidR="004B6F5E" w:rsidRDefault="004B6F5E" w:rsidP="004B6F5E">
      <w:pPr>
        <w:ind w:firstLine="720"/>
      </w:pPr>
    </w:p>
    <w:p w:rsidR="004B6F5E" w:rsidRDefault="004B6F5E" w:rsidP="004B6F5E">
      <w:pPr>
        <w:ind w:firstLine="720"/>
        <w:jc w:val="both"/>
      </w:pPr>
      <w:r>
        <w:t>Protiv rješenja iz stavka 5. ovog članka dopuštena je žalba Ministarstvu pravosuđa u roku od 15 dana od dana dostave rješenja.</w:t>
      </w:r>
    </w:p>
    <w:p w:rsidR="004B6F5E" w:rsidRDefault="004B6F5E" w:rsidP="004B6F5E">
      <w:pPr>
        <w:rPr>
          <w:color w:val="000000"/>
        </w:rPr>
      </w:pPr>
    </w:p>
    <w:p w:rsidR="004B6F5E" w:rsidRDefault="004B6F5E" w:rsidP="004B6F5E">
      <w:pPr>
        <w:ind w:firstLine="720"/>
        <w:rPr>
          <w:color w:val="000000"/>
        </w:rPr>
      </w:pPr>
      <w:r>
        <w:rPr>
          <w:color w:val="000000"/>
        </w:rPr>
        <w:t>Ponovno imenovani stalni sudski tumač ne daje prisegu.</w:t>
      </w:r>
    </w:p>
    <w:p w:rsidR="004B6F5E" w:rsidRDefault="004B6F5E" w:rsidP="004B6F5E">
      <w:pPr>
        <w:jc w:val="center"/>
        <w:rPr>
          <w:color w:val="000000"/>
        </w:rPr>
      </w:pPr>
    </w:p>
    <w:p w:rsidR="004B6F5E" w:rsidRDefault="004B6F5E" w:rsidP="004B6F5E">
      <w:pPr>
        <w:jc w:val="center"/>
        <w:rPr>
          <w:color w:val="000000"/>
        </w:rPr>
      </w:pPr>
      <w:r>
        <w:rPr>
          <w:color w:val="000000"/>
        </w:rPr>
        <w:t>Članak 15.</w:t>
      </w:r>
    </w:p>
    <w:p w:rsidR="004B6F5E" w:rsidRDefault="004B6F5E" w:rsidP="004B6F5E">
      <w:pPr>
        <w:rPr>
          <w:color w:val="000000"/>
        </w:rPr>
      </w:pPr>
    </w:p>
    <w:p w:rsidR="004B6F5E" w:rsidRDefault="004B6F5E" w:rsidP="004B6F5E">
      <w:pPr>
        <w:ind w:firstLine="720"/>
        <w:jc w:val="both"/>
        <w:rPr>
          <w:color w:val="000000"/>
        </w:rPr>
      </w:pPr>
      <w:r>
        <w:rPr>
          <w:color w:val="000000"/>
        </w:rPr>
        <w:t>Imenovanog stalnog sudskog tumača razriješit će predsjednik odgovarajućeg županijskog suda:</w:t>
      </w:r>
    </w:p>
    <w:p w:rsidR="004B6F5E" w:rsidRDefault="004B6F5E" w:rsidP="004B6F5E">
      <w:pPr>
        <w:numPr>
          <w:ilvl w:val="0"/>
          <w:numId w:val="2"/>
        </w:numPr>
        <w:jc w:val="both"/>
        <w:rPr>
          <w:color w:val="000000"/>
        </w:rPr>
      </w:pPr>
      <w:r>
        <w:rPr>
          <w:color w:val="000000"/>
        </w:rPr>
        <w:t>ako to sam zatraži,</w:t>
      </w:r>
    </w:p>
    <w:p w:rsidR="004B6F5E" w:rsidRDefault="004B6F5E" w:rsidP="004B6F5E">
      <w:pPr>
        <w:numPr>
          <w:ilvl w:val="0"/>
          <w:numId w:val="2"/>
        </w:numPr>
        <w:jc w:val="both"/>
        <w:rPr>
          <w:color w:val="000000"/>
        </w:rPr>
      </w:pPr>
      <w:r>
        <w:rPr>
          <w:color w:val="000000"/>
        </w:rPr>
        <w:t>ako se utvrdi da nisu postojali odnosno da su prestali uvjeti na temelju kojih je imenovan,</w:t>
      </w:r>
    </w:p>
    <w:p w:rsidR="004B6F5E" w:rsidRDefault="004B6F5E" w:rsidP="004B6F5E">
      <w:pPr>
        <w:numPr>
          <w:ilvl w:val="0"/>
          <w:numId w:val="2"/>
        </w:numPr>
        <w:jc w:val="both"/>
        <w:rPr>
          <w:color w:val="000000"/>
        </w:rPr>
      </w:pPr>
      <w:r>
        <w:rPr>
          <w:color w:val="000000"/>
        </w:rPr>
        <w:lastRenderedPageBreak/>
        <w:t xml:space="preserve">ako je na temelju pravomoćne odluke nadležnog tijela </w:t>
      </w:r>
      <w:proofErr w:type="spellStart"/>
      <w:r>
        <w:rPr>
          <w:color w:val="000000"/>
        </w:rPr>
        <w:t>progla</w:t>
      </w:r>
      <w:proofErr w:type="spellEnd"/>
      <w:r>
        <w:rPr>
          <w:color w:val="000000"/>
        </w:rPr>
        <w:softHyphen/>
      </w:r>
      <w:proofErr w:type="spellStart"/>
      <w:r>
        <w:rPr>
          <w:color w:val="000000"/>
        </w:rPr>
        <w:t>šen</w:t>
      </w:r>
      <w:proofErr w:type="spellEnd"/>
      <w:r>
        <w:rPr>
          <w:color w:val="000000"/>
        </w:rPr>
        <w:t xml:space="preserve"> nesposobnim za obavljanje poslova stalnog sudskog tumača,</w:t>
      </w:r>
    </w:p>
    <w:p w:rsidR="004B6F5E" w:rsidRDefault="004B6F5E" w:rsidP="004B6F5E">
      <w:pPr>
        <w:numPr>
          <w:ilvl w:val="0"/>
          <w:numId w:val="2"/>
        </w:numPr>
        <w:jc w:val="both"/>
        <w:rPr>
          <w:color w:val="000000"/>
        </w:rPr>
      </w:pPr>
      <w:r>
        <w:rPr>
          <w:color w:val="000000"/>
        </w:rPr>
        <w:t>ako mu je na temelju pravomoćne sudske odluke oduzeta poslovna sposobnost,</w:t>
      </w:r>
    </w:p>
    <w:p w:rsidR="004B6F5E" w:rsidRDefault="004B6F5E" w:rsidP="004B6F5E">
      <w:pPr>
        <w:numPr>
          <w:ilvl w:val="0"/>
          <w:numId w:val="2"/>
        </w:numPr>
        <w:jc w:val="both"/>
        <w:rPr>
          <w:color w:val="000000"/>
        </w:rPr>
      </w:pPr>
      <w:r>
        <w:rPr>
          <w:color w:val="000000"/>
        </w:rPr>
        <w:t xml:space="preserve">ako je osuđen za kazneno djelo koje je zapreka za prijam u državnu službu, </w:t>
      </w:r>
    </w:p>
    <w:p w:rsidR="004B6F5E" w:rsidRDefault="004B6F5E" w:rsidP="004B6F5E">
      <w:pPr>
        <w:numPr>
          <w:ilvl w:val="0"/>
          <w:numId w:val="2"/>
        </w:numPr>
        <w:jc w:val="both"/>
        <w:rPr>
          <w:color w:val="000000"/>
        </w:rPr>
      </w:pPr>
      <w:r>
        <w:rPr>
          <w:color w:val="000000"/>
        </w:rPr>
        <w:t>ako nesavjesno ili neuredno obavlja povjerene mu poslove stalnog sudskog tumača,</w:t>
      </w:r>
    </w:p>
    <w:p w:rsidR="004B6F5E" w:rsidRDefault="004B6F5E" w:rsidP="004B6F5E">
      <w:pPr>
        <w:numPr>
          <w:ilvl w:val="0"/>
          <w:numId w:val="2"/>
        </w:numPr>
        <w:jc w:val="both"/>
        <w:rPr>
          <w:color w:val="000000"/>
        </w:rPr>
      </w:pPr>
      <w:r>
        <w:rPr>
          <w:color w:val="000000"/>
        </w:rPr>
        <w:t>ako povrijedi odredbe članka 23. ovog Pravilnika.</w:t>
      </w:r>
    </w:p>
    <w:p w:rsidR="004B6F5E" w:rsidRDefault="004B6F5E" w:rsidP="004B6F5E">
      <w:pPr>
        <w:rPr>
          <w:color w:val="000000"/>
        </w:rPr>
      </w:pPr>
    </w:p>
    <w:p w:rsidR="004B6F5E" w:rsidRDefault="004B6F5E" w:rsidP="004B6F5E">
      <w:pPr>
        <w:ind w:firstLine="720"/>
        <w:jc w:val="both"/>
        <w:rPr>
          <w:color w:val="000000"/>
        </w:rPr>
      </w:pPr>
      <w:r>
        <w:rPr>
          <w:color w:val="000000"/>
        </w:rPr>
        <w:t>Protiv rješenja o razrješenju dopuštena je žalba Ministarstvu pravosuđa u roku od 15 dana od dostave rješenja.</w:t>
      </w:r>
    </w:p>
    <w:p w:rsidR="004B6F5E" w:rsidRDefault="004B6F5E" w:rsidP="004B6F5E">
      <w:pPr>
        <w:ind w:firstLine="720"/>
        <w:rPr>
          <w:color w:val="000000"/>
        </w:rPr>
      </w:pPr>
    </w:p>
    <w:p w:rsidR="004B6F5E" w:rsidRDefault="004B6F5E" w:rsidP="004B6F5E">
      <w:pPr>
        <w:jc w:val="center"/>
        <w:rPr>
          <w:color w:val="000000"/>
        </w:rPr>
      </w:pPr>
      <w:r>
        <w:rPr>
          <w:color w:val="000000"/>
        </w:rPr>
        <w:t>Članak 16.</w:t>
      </w:r>
    </w:p>
    <w:p w:rsidR="004B6F5E" w:rsidRDefault="004B6F5E" w:rsidP="004B6F5E">
      <w:pPr>
        <w:jc w:val="center"/>
        <w:rPr>
          <w:color w:val="000000"/>
        </w:rPr>
      </w:pPr>
    </w:p>
    <w:p w:rsidR="004B6F5E" w:rsidRDefault="004B6F5E" w:rsidP="004B6F5E">
      <w:pPr>
        <w:ind w:firstLine="720"/>
        <w:jc w:val="both"/>
        <w:rPr>
          <w:color w:val="000000"/>
        </w:rPr>
      </w:pPr>
      <w:r>
        <w:rPr>
          <w:color w:val="000000"/>
        </w:rPr>
        <w:t xml:space="preserve">Razriješeni stalni sudski tumač briše se iz Popisa stalnih sudskih tumača, a bilješka o brisanju upisuje se u odjeljak „primjedba“. O brisanju se izvješćuju </w:t>
      </w:r>
      <w:r>
        <w:t xml:space="preserve">svi </w:t>
      </w:r>
      <w:r>
        <w:rPr>
          <w:color w:val="000000"/>
        </w:rPr>
        <w:t>sudovi.</w:t>
      </w:r>
    </w:p>
    <w:p w:rsidR="004B6F5E" w:rsidRDefault="004B6F5E" w:rsidP="004B6F5E">
      <w:pPr>
        <w:rPr>
          <w:color w:val="000000"/>
        </w:rPr>
      </w:pPr>
    </w:p>
    <w:p w:rsidR="004B6F5E" w:rsidRDefault="004B6F5E" w:rsidP="004B6F5E">
      <w:pPr>
        <w:ind w:firstLine="720"/>
        <w:jc w:val="both"/>
        <w:rPr>
          <w:color w:val="000000"/>
        </w:rPr>
      </w:pPr>
      <w:r>
        <w:rPr>
          <w:color w:val="000000"/>
        </w:rPr>
        <w:t>Danom brisanja iz Popisa stalni sudski tumač dužan je zaključi</w:t>
      </w:r>
      <w:r>
        <w:rPr>
          <w:color w:val="000000"/>
        </w:rPr>
        <w:softHyphen/>
        <w:t>ti Dnevnik prijevoda i ovjera te ga zajedno sa svojim pečatom predati predsjedniku županijskog suda koji ga je imenovao.</w:t>
      </w:r>
    </w:p>
    <w:p w:rsidR="004B6F5E" w:rsidRDefault="004B6F5E" w:rsidP="004B6F5E">
      <w:pPr>
        <w:jc w:val="center"/>
        <w:rPr>
          <w:color w:val="000000"/>
        </w:rPr>
      </w:pPr>
    </w:p>
    <w:p w:rsidR="004B6F5E" w:rsidRDefault="004B6F5E" w:rsidP="004B6F5E">
      <w:pPr>
        <w:jc w:val="center"/>
        <w:rPr>
          <w:color w:val="000000"/>
        </w:rPr>
      </w:pPr>
      <w:r>
        <w:rPr>
          <w:color w:val="000000"/>
        </w:rPr>
        <w:t>Članak 17.</w:t>
      </w:r>
    </w:p>
    <w:p w:rsidR="004B6F5E" w:rsidRDefault="004B6F5E" w:rsidP="004B6F5E">
      <w:pPr>
        <w:jc w:val="center"/>
        <w:rPr>
          <w:color w:val="000000"/>
        </w:rPr>
      </w:pPr>
    </w:p>
    <w:p w:rsidR="004B6F5E" w:rsidRDefault="004B6F5E" w:rsidP="004B6F5E">
      <w:pPr>
        <w:ind w:firstLine="720"/>
        <w:jc w:val="both"/>
        <w:rPr>
          <w:color w:val="000000"/>
        </w:rPr>
      </w:pPr>
      <w:r>
        <w:rPr>
          <w:color w:val="000000"/>
        </w:rPr>
        <w:t>U postupku imenovanja i razrješenja stalnih sudskih tumača primjenjuju se odredbe Zakona o općem upravnom postupku.</w:t>
      </w:r>
    </w:p>
    <w:p w:rsidR="004B6F5E" w:rsidRDefault="004B6F5E" w:rsidP="004B6F5E">
      <w:pPr>
        <w:rPr>
          <w:color w:val="000000"/>
        </w:rPr>
      </w:pPr>
    </w:p>
    <w:p w:rsidR="004B6F5E" w:rsidRDefault="004B6F5E" w:rsidP="004B6F5E">
      <w:pPr>
        <w:spacing w:after="100" w:afterAutospacing="1"/>
        <w:jc w:val="center"/>
        <w:rPr>
          <w:color w:val="000000"/>
        </w:rPr>
      </w:pPr>
      <w:r>
        <w:rPr>
          <w:color w:val="000000"/>
        </w:rPr>
        <w:t>DUŽNOSTI STALNIH SUDSKIH TUMAČA</w:t>
      </w:r>
    </w:p>
    <w:p w:rsidR="004B6F5E" w:rsidRDefault="004B6F5E" w:rsidP="004B6F5E">
      <w:pPr>
        <w:spacing w:after="100" w:afterAutospacing="1"/>
        <w:jc w:val="center"/>
        <w:rPr>
          <w:color w:val="000000"/>
        </w:rPr>
      </w:pPr>
      <w:r>
        <w:rPr>
          <w:color w:val="000000"/>
        </w:rPr>
        <w:t>Članak 18.</w:t>
      </w:r>
    </w:p>
    <w:p w:rsidR="004B6F5E" w:rsidRDefault="004B6F5E" w:rsidP="004B6F5E">
      <w:pPr>
        <w:spacing w:after="100" w:afterAutospacing="1"/>
        <w:ind w:firstLine="720"/>
        <w:jc w:val="both"/>
        <w:rPr>
          <w:color w:val="000000"/>
        </w:rPr>
      </w:pPr>
      <w:r>
        <w:rPr>
          <w:color w:val="000000"/>
        </w:rPr>
        <w:t>Stalni sudski tumač dužan je poslove za koje je imenovan obavljati savjesno i u skladu s propisima.</w:t>
      </w:r>
    </w:p>
    <w:p w:rsidR="004B6F5E" w:rsidRDefault="004B6F5E" w:rsidP="004B6F5E">
      <w:pPr>
        <w:jc w:val="center"/>
        <w:rPr>
          <w:color w:val="000000"/>
        </w:rPr>
      </w:pPr>
      <w:r>
        <w:rPr>
          <w:color w:val="000000"/>
        </w:rPr>
        <w:t>Članak 19.</w:t>
      </w:r>
    </w:p>
    <w:p w:rsidR="004B6F5E" w:rsidRDefault="004B6F5E" w:rsidP="004B6F5E">
      <w:pPr>
        <w:jc w:val="center"/>
        <w:rPr>
          <w:color w:val="000000"/>
        </w:rPr>
      </w:pPr>
    </w:p>
    <w:p w:rsidR="004B6F5E" w:rsidRDefault="004B6F5E" w:rsidP="004B6F5E">
      <w:pPr>
        <w:ind w:firstLine="720"/>
        <w:jc w:val="both"/>
        <w:rPr>
          <w:color w:val="000000"/>
        </w:rPr>
      </w:pPr>
      <w:r>
        <w:rPr>
          <w:color w:val="000000"/>
        </w:rPr>
        <w:t>Stalni sudski tumač dužan je o svom radu voditi evidenciju u obliku knjige pod nazivom „Dnevnik prijevoda i ovjera“.</w:t>
      </w:r>
    </w:p>
    <w:p w:rsidR="004B6F5E" w:rsidRDefault="004B6F5E" w:rsidP="004B6F5E">
      <w:pPr>
        <w:rPr>
          <w:color w:val="000000"/>
        </w:rPr>
      </w:pPr>
    </w:p>
    <w:p w:rsidR="004B6F5E" w:rsidRDefault="004B6F5E" w:rsidP="004B6F5E">
      <w:pPr>
        <w:ind w:firstLine="720"/>
        <w:jc w:val="both"/>
        <w:rPr>
          <w:color w:val="000000"/>
        </w:rPr>
      </w:pPr>
      <w:r>
        <w:rPr>
          <w:color w:val="000000"/>
        </w:rPr>
        <w:t>Knjiga mora biti prošivena jamstvenikom i ovjerena od strane predsjednika županijskog suda.</w:t>
      </w:r>
    </w:p>
    <w:p w:rsidR="004B6F5E" w:rsidRDefault="004B6F5E" w:rsidP="004B6F5E">
      <w:pPr>
        <w:ind w:firstLine="720"/>
        <w:rPr>
          <w:color w:val="000000"/>
        </w:rPr>
      </w:pPr>
    </w:p>
    <w:p w:rsidR="004B6F5E" w:rsidRDefault="004B6F5E" w:rsidP="004B6F5E">
      <w:pPr>
        <w:ind w:firstLine="720"/>
        <w:jc w:val="both"/>
        <w:rPr>
          <w:color w:val="000000"/>
        </w:rPr>
      </w:pPr>
      <w:r>
        <w:rPr>
          <w:color w:val="000000"/>
        </w:rPr>
        <w:t>Dnevnik prijevoda i ovjera vodi se na propisanim tiskanicama formata A4, uvezanim u knjigu s tvrdim koricama. Na korice se stavlja oznaka „Dnevnik prijevoda i ovjera“.</w:t>
      </w:r>
    </w:p>
    <w:p w:rsidR="004B6F5E" w:rsidRDefault="004B6F5E" w:rsidP="004B6F5E">
      <w:pPr>
        <w:ind w:firstLine="720"/>
        <w:rPr>
          <w:color w:val="000000"/>
        </w:rPr>
      </w:pPr>
      <w:r>
        <w:rPr>
          <w:color w:val="000000"/>
        </w:rPr>
        <w:t>U Dnevnik prijevoda i ovjera upisuju se sljedeći podaci:</w:t>
      </w:r>
    </w:p>
    <w:p w:rsidR="004B6F5E" w:rsidRDefault="004B6F5E" w:rsidP="004B6F5E">
      <w:pPr>
        <w:numPr>
          <w:ilvl w:val="0"/>
          <w:numId w:val="3"/>
        </w:numPr>
        <w:rPr>
          <w:color w:val="000000"/>
        </w:rPr>
      </w:pPr>
      <w:r>
        <w:rPr>
          <w:color w:val="000000"/>
        </w:rPr>
        <w:t>redni broj,</w:t>
      </w:r>
    </w:p>
    <w:p w:rsidR="004B6F5E" w:rsidRDefault="004B6F5E" w:rsidP="004B6F5E">
      <w:pPr>
        <w:numPr>
          <w:ilvl w:val="0"/>
          <w:numId w:val="3"/>
        </w:numPr>
        <w:rPr>
          <w:color w:val="000000"/>
        </w:rPr>
      </w:pPr>
      <w:r>
        <w:rPr>
          <w:color w:val="000000"/>
        </w:rPr>
        <w:t xml:space="preserve">datum primitka isprave za prevođenje odnosno datum </w:t>
      </w:r>
      <w:proofErr w:type="spellStart"/>
      <w:r>
        <w:rPr>
          <w:color w:val="000000"/>
        </w:rPr>
        <w:t>obav</w:t>
      </w:r>
      <w:proofErr w:type="spellEnd"/>
      <w:r>
        <w:rPr>
          <w:color w:val="000000"/>
        </w:rPr>
        <w:softHyphen/>
      </w:r>
      <w:proofErr w:type="spellStart"/>
      <w:r>
        <w:rPr>
          <w:color w:val="000000"/>
        </w:rPr>
        <w:t>ljenog</w:t>
      </w:r>
      <w:proofErr w:type="spellEnd"/>
      <w:r>
        <w:rPr>
          <w:color w:val="000000"/>
        </w:rPr>
        <w:t xml:space="preserve"> usmenog prevođenja,</w:t>
      </w:r>
    </w:p>
    <w:p w:rsidR="004B6F5E" w:rsidRDefault="004B6F5E" w:rsidP="004B6F5E">
      <w:pPr>
        <w:numPr>
          <w:ilvl w:val="0"/>
          <w:numId w:val="3"/>
        </w:numPr>
        <w:rPr>
          <w:color w:val="000000"/>
        </w:rPr>
      </w:pPr>
      <w:r>
        <w:rPr>
          <w:color w:val="000000"/>
        </w:rPr>
        <w:t>broj i datum akta suda, drugog državnog tijela ili pravne osobe na čiji se zahtjev obavlja prevođenje, odnosno ime i prezime, adresa i broj osobne iskaznice podnositelja isprave,</w:t>
      </w:r>
    </w:p>
    <w:p w:rsidR="004B6F5E" w:rsidRDefault="004B6F5E" w:rsidP="004B6F5E">
      <w:pPr>
        <w:numPr>
          <w:ilvl w:val="0"/>
          <w:numId w:val="3"/>
        </w:numPr>
        <w:rPr>
          <w:color w:val="000000"/>
        </w:rPr>
      </w:pPr>
      <w:r>
        <w:rPr>
          <w:color w:val="000000"/>
        </w:rPr>
        <w:t>predmet prijevoda,</w:t>
      </w:r>
    </w:p>
    <w:p w:rsidR="004B6F5E" w:rsidRDefault="004B6F5E" w:rsidP="004B6F5E">
      <w:pPr>
        <w:numPr>
          <w:ilvl w:val="0"/>
          <w:numId w:val="3"/>
        </w:numPr>
        <w:rPr>
          <w:color w:val="000000"/>
        </w:rPr>
      </w:pPr>
      <w:r>
        <w:rPr>
          <w:color w:val="000000"/>
        </w:rPr>
        <w:lastRenderedPageBreak/>
        <w:t>iznos naplaćene nagrade i drugih izdataka za prijevod,</w:t>
      </w:r>
    </w:p>
    <w:p w:rsidR="004B6F5E" w:rsidRDefault="004B6F5E" w:rsidP="004B6F5E">
      <w:pPr>
        <w:numPr>
          <w:ilvl w:val="0"/>
          <w:numId w:val="3"/>
        </w:numPr>
        <w:rPr>
          <w:color w:val="000000"/>
        </w:rPr>
      </w:pPr>
      <w:r>
        <w:rPr>
          <w:color w:val="000000"/>
        </w:rPr>
        <w:t>potvrda podnositelja isprave da je prijevod obavljen i datum obavljenog prijevoda,</w:t>
      </w:r>
    </w:p>
    <w:p w:rsidR="004B6F5E" w:rsidRDefault="004B6F5E" w:rsidP="004B6F5E">
      <w:pPr>
        <w:numPr>
          <w:ilvl w:val="0"/>
          <w:numId w:val="3"/>
        </w:numPr>
        <w:rPr>
          <w:color w:val="000000"/>
        </w:rPr>
      </w:pPr>
      <w:r>
        <w:rPr>
          <w:color w:val="000000"/>
        </w:rPr>
        <w:t>primjedba.</w:t>
      </w:r>
    </w:p>
    <w:p w:rsidR="004B6F5E" w:rsidRDefault="004B6F5E" w:rsidP="004B6F5E">
      <w:pPr>
        <w:rPr>
          <w:color w:val="000000"/>
        </w:rPr>
      </w:pPr>
    </w:p>
    <w:p w:rsidR="004B6F5E" w:rsidRDefault="004B6F5E" w:rsidP="004B6F5E">
      <w:pPr>
        <w:ind w:firstLine="720"/>
        <w:rPr>
          <w:color w:val="000000"/>
        </w:rPr>
      </w:pPr>
      <w:r>
        <w:rPr>
          <w:color w:val="000000"/>
        </w:rPr>
        <w:t>Dnevnik prijevoda i ovjera zaključuje se na kraju kalendarske godine, a ispod posljednjeg upisa tekuće godine povlači se crta.</w:t>
      </w:r>
    </w:p>
    <w:p w:rsidR="004B6F5E" w:rsidRDefault="004B6F5E" w:rsidP="004B6F5E">
      <w:pPr>
        <w:jc w:val="center"/>
        <w:rPr>
          <w:color w:val="000000"/>
        </w:rPr>
      </w:pPr>
    </w:p>
    <w:p w:rsidR="004B6F5E" w:rsidRDefault="004B6F5E" w:rsidP="004B6F5E">
      <w:pPr>
        <w:jc w:val="center"/>
        <w:rPr>
          <w:color w:val="000000"/>
        </w:rPr>
      </w:pPr>
      <w:r>
        <w:rPr>
          <w:color w:val="000000"/>
        </w:rPr>
        <w:t>Članak 20.</w:t>
      </w:r>
    </w:p>
    <w:p w:rsidR="004B6F5E" w:rsidRDefault="004B6F5E" w:rsidP="004B6F5E">
      <w:pPr>
        <w:jc w:val="center"/>
        <w:rPr>
          <w:color w:val="000000"/>
        </w:rPr>
      </w:pPr>
    </w:p>
    <w:p w:rsidR="004B6F5E" w:rsidRDefault="004B6F5E" w:rsidP="004B6F5E">
      <w:pPr>
        <w:ind w:firstLine="720"/>
        <w:jc w:val="both"/>
        <w:rPr>
          <w:color w:val="000000"/>
        </w:rPr>
      </w:pPr>
      <w:r>
        <w:rPr>
          <w:color w:val="000000"/>
        </w:rPr>
        <w:t>Prijevod isprave stalni sudski tumač ovjerava potvrdom koja glasi: „Ja __________, stalni sudski tumač za _______ jezik, imenovan rješenjem predsjednika Županijskog suda u ________ broj ______ od __________ potvrđujem da gornji prijevod potpuno odgovara izvorniku sastavljenom na _________ jeziku”.</w:t>
      </w:r>
    </w:p>
    <w:p w:rsidR="004B6F5E" w:rsidRDefault="004B6F5E" w:rsidP="004B6F5E">
      <w:pPr>
        <w:rPr>
          <w:color w:val="000000"/>
        </w:rPr>
      </w:pPr>
    </w:p>
    <w:p w:rsidR="004B6F5E" w:rsidRDefault="004B6F5E" w:rsidP="004B6F5E">
      <w:pPr>
        <w:ind w:firstLine="720"/>
        <w:rPr>
          <w:color w:val="000000"/>
        </w:rPr>
      </w:pPr>
      <w:r>
        <w:rPr>
          <w:color w:val="000000"/>
        </w:rPr>
        <w:t>Potvrda mora biti na jeziku na koji je isprava prevedena.</w:t>
      </w:r>
    </w:p>
    <w:p w:rsidR="004B6F5E" w:rsidRDefault="004B6F5E" w:rsidP="004B6F5E">
      <w:pPr>
        <w:rPr>
          <w:color w:val="000000"/>
        </w:rPr>
      </w:pPr>
    </w:p>
    <w:p w:rsidR="004B6F5E" w:rsidRDefault="004B6F5E" w:rsidP="004B6F5E">
      <w:pPr>
        <w:ind w:firstLine="720"/>
        <w:jc w:val="both"/>
        <w:rPr>
          <w:color w:val="000000"/>
        </w:rPr>
      </w:pPr>
      <w:r>
        <w:rPr>
          <w:color w:val="000000"/>
        </w:rPr>
        <w:t>Ako prijevod isprave obuhvaća dva ili više listova ili araka, stranice prijevoda moraju biti označene rednim brojem, a listovi odnos</w:t>
      </w:r>
      <w:r>
        <w:rPr>
          <w:color w:val="000000"/>
        </w:rPr>
        <w:softHyphen/>
        <w:t>no arci prošiveni i na kraju ovjereni pečatom i potpisom stalnog sudskog tumača. Uz ovjereni prijevod uvezuje se i  original ili preslika izvornog teksta.</w:t>
      </w:r>
    </w:p>
    <w:p w:rsidR="004B6F5E" w:rsidRDefault="004B6F5E" w:rsidP="004B6F5E">
      <w:pPr>
        <w:rPr>
          <w:color w:val="000000"/>
        </w:rPr>
      </w:pPr>
    </w:p>
    <w:p w:rsidR="004B6F5E" w:rsidRDefault="004B6F5E" w:rsidP="004B6F5E">
      <w:pPr>
        <w:ind w:firstLine="720"/>
        <w:jc w:val="both"/>
        <w:rPr>
          <w:color w:val="000000"/>
        </w:rPr>
      </w:pPr>
      <w:r>
        <w:rPr>
          <w:color w:val="000000"/>
        </w:rPr>
        <w:t>Naslovna, svaka sljedeća i posljednja stranica pisanih prijevoda s tekstom ovjere jednoobraznog su izgleda, prema obrascu broj 1 koji je sastavni dio ovog Pravilnika. Na naslovnoj stranici se navodi naslov prevedenog teksta.</w:t>
      </w:r>
    </w:p>
    <w:p w:rsidR="004B6F5E" w:rsidRDefault="004B6F5E" w:rsidP="004B6F5E">
      <w:pPr>
        <w:rPr>
          <w:color w:val="000000"/>
        </w:rPr>
      </w:pPr>
    </w:p>
    <w:p w:rsidR="004B6F5E" w:rsidRDefault="004B6F5E" w:rsidP="004B6F5E">
      <w:pPr>
        <w:ind w:firstLine="720"/>
        <w:jc w:val="both"/>
        <w:rPr>
          <w:color w:val="000000"/>
        </w:rPr>
      </w:pPr>
      <w:r>
        <w:rPr>
          <w:color w:val="000000"/>
        </w:rPr>
        <w:t xml:space="preserve">Ispod potvrde se naznačuje mjesto i datum prijevoda te stavlja broj koji odgovara rednom broju Dnevnika prijevoda i ovjera, </w:t>
      </w:r>
      <w:proofErr w:type="spellStart"/>
      <w:r>
        <w:rPr>
          <w:color w:val="000000"/>
        </w:rPr>
        <w:t>vla</w:t>
      </w:r>
      <w:proofErr w:type="spellEnd"/>
      <w:r>
        <w:rPr>
          <w:color w:val="000000"/>
        </w:rPr>
        <w:softHyphen/>
      </w:r>
      <w:proofErr w:type="spellStart"/>
      <w:r>
        <w:rPr>
          <w:color w:val="000000"/>
        </w:rPr>
        <w:t>storučni</w:t>
      </w:r>
      <w:proofErr w:type="spellEnd"/>
      <w:r>
        <w:rPr>
          <w:color w:val="000000"/>
        </w:rPr>
        <w:t xml:space="preserve"> potpis i otisak pečata stalnog sudskog tumača.</w:t>
      </w:r>
    </w:p>
    <w:p w:rsidR="004B6F5E" w:rsidRDefault="004B6F5E" w:rsidP="004B6F5E">
      <w:pPr>
        <w:jc w:val="center"/>
        <w:rPr>
          <w:color w:val="000000"/>
        </w:rPr>
      </w:pPr>
    </w:p>
    <w:p w:rsidR="004B6F5E" w:rsidRDefault="004B6F5E" w:rsidP="004B6F5E">
      <w:pPr>
        <w:jc w:val="center"/>
        <w:rPr>
          <w:color w:val="000000"/>
        </w:rPr>
      </w:pPr>
      <w:r>
        <w:rPr>
          <w:color w:val="000000"/>
        </w:rPr>
        <w:t>Članak 21.</w:t>
      </w:r>
    </w:p>
    <w:p w:rsidR="004B6F5E" w:rsidRDefault="004B6F5E" w:rsidP="004B6F5E">
      <w:pPr>
        <w:rPr>
          <w:color w:val="000000"/>
        </w:rPr>
      </w:pPr>
    </w:p>
    <w:p w:rsidR="004B6F5E" w:rsidRDefault="004B6F5E" w:rsidP="004B6F5E">
      <w:pPr>
        <w:ind w:firstLine="720"/>
        <w:rPr>
          <w:color w:val="000000"/>
        </w:rPr>
      </w:pPr>
      <w:r>
        <w:rPr>
          <w:color w:val="000000"/>
        </w:rPr>
        <w:t>Stalni sudski tumači mogu koristiti elektronički potpis u skladu s odredbama Zakona o elektroničkom potpisu.</w:t>
      </w:r>
    </w:p>
    <w:p w:rsidR="004B6F5E" w:rsidRDefault="004B6F5E" w:rsidP="004B6F5E">
      <w:pPr>
        <w:jc w:val="center"/>
        <w:rPr>
          <w:color w:val="000000"/>
        </w:rPr>
      </w:pPr>
    </w:p>
    <w:p w:rsidR="004B6F5E" w:rsidRDefault="004B6F5E" w:rsidP="004B6F5E">
      <w:pPr>
        <w:jc w:val="center"/>
        <w:rPr>
          <w:color w:val="000000"/>
        </w:rPr>
      </w:pPr>
      <w:r>
        <w:rPr>
          <w:color w:val="000000"/>
        </w:rPr>
        <w:t>Članak 22.</w:t>
      </w:r>
    </w:p>
    <w:p w:rsidR="004B6F5E" w:rsidRDefault="004B6F5E" w:rsidP="004B6F5E">
      <w:pPr>
        <w:jc w:val="center"/>
        <w:rPr>
          <w:color w:val="000000"/>
        </w:rPr>
      </w:pPr>
    </w:p>
    <w:p w:rsidR="004B6F5E" w:rsidRDefault="004B6F5E" w:rsidP="004B6F5E">
      <w:pPr>
        <w:ind w:firstLine="720"/>
        <w:rPr>
          <w:color w:val="000000"/>
        </w:rPr>
      </w:pPr>
      <w:r>
        <w:rPr>
          <w:color w:val="000000"/>
        </w:rPr>
        <w:t>Stalni sudski tumač dužan je izdati račun o obavljenoj usluzi prijevoda.</w:t>
      </w:r>
    </w:p>
    <w:p w:rsidR="004B6F5E" w:rsidRDefault="004B6F5E" w:rsidP="004B6F5E">
      <w:pPr>
        <w:ind w:firstLine="720"/>
        <w:rPr>
          <w:color w:val="000000"/>
        </w:rPr>
      </w:pPr>
    </w:p>
    <w:p w:rsidR="004B6F5E" w:rsidRDefault="004B6F5E" w:rsidP="004B6F5E">
      <w:pPr>
        <w:jc w:val="center"/>
        <w:rPr>
          <w:color w:val="000000"/>
        </w:rPr>
      </w:pPr>
      <w:r>
        <w:rPr>
          <w:color w:val="000000"/>
        </w:rPr>
        <w:t>Članak 23.</w:t>
      </w:r>
    </w:p>
    <w:p w:rsidR="004B6F5E" w:rsidRDefault="004B6F5E" w:rsidP="004B6F5E">
      <w:pPr>
        <w:jc w:val="center"/>
        <w:rPr>
          <w:color w:val="000000"/>
        </w:rPr>
      </w:pPr>
    </w:p>
    <w:p w:rsidR="004B6F5E" w:rsidRDefault="004B6F5E" w:rsidP="004B6F5E">
      <w:pPr>
        <w:ind w:firstLine="720"/>
        <w:jc w:val="both"/>
        <w:rPr>
          <w:color w:val="000000"/>
        </w:rPr>
      </w:pPr>
      <w:r>
        <w:rPr>
          <w:color w:val="000000"/>
        </w:rPr>
        <w:t>Stalni sudski tumač dužan je kao tajnu čuvati sve ono što je tijekom obavljanja poslova stalnog sudskog tumača saznao.</w:t>
      </w:r>
    </w:p>
    <w:p w:rsidR="004B6F5E" w:rsidRDefault="004B6F5E" w:rsidP="004B6F5E">
      <w:pPr>
        <w:rPr>
          <w:color w:val="000000"/>
        </w:rPr>
      </w:pPr>
    </w:p>
    <w:p w:rsidR="004B6F5E" w:rsidRDefault="004B6F5E" w:rsidP="004B6F5E">
      <w:pPr>
        <w:ind w:firstLine="720"/>
        <w:jc w:val="both"/>
        <w:rPr>
          <w:color w:val="000000"/>
        </w:rPr>
      </w:pPr>
      <w:r>
        <w:rPr>
          <w:color w:val="000000"/>
        </w:rPr>
        <w:t>Stalnom sudskom tumaču odnosno pravnoj osobi koja obavlja poslove stalnog sudskog tumača zabranjeno je isticanje svojstva stalnog sudskog tumača na javnim i privatnim površinama te reklamiranje, osim isticanja uobičajene oznake na adresi sjedišta stalnog sudskog tumača.</w:t>
      </w:r>
    </w:p>
    <w:p w:rsidR="004B6F5E" w:rsidRDefault="004B6F5E" w:rsidP="004B6F5E">
      <w:pPr>
        <w:rPr>
          <w:color w:val="000000"/>
        </w:rPr>
      </w:pPr>
    </w:p>
    <w:p w:rsidR="004B6F5E" w:rsidRDefault="004B6F5E" w:rsidP="004B6F5E">
      <w:pPr>
        <w:jc w:val="center"/>
        <w:rPr>
          <w:color w:val="000000"/>
        </w:rPr>
      </w:pPr>
      <w:r>
        <w:rPr>
          <w:color w:val="000000"/>
        </w:rPr>
        <w:t>Članak 24.</w:t>
      </w:r>
    </w:p>
    <w:p w:rsidR="004B6F5E" w:rsidRDefault="004B6F5E" w:rsidP="004B6F5E">
      <w:pPr>
        <w:jc w:val="center"/>
        <w:rPr>
          <w:color w:val="000000"/>
        </w:rPr>
      </w:pPr>
    </w:p>
    <w:p w:rsidR="004B6F5E" w:rsidRDefault="004B6F5E" w:rsidP="004B6F5E">
      <w:pPr>
        <w:ind w:firstLine="720"/>
        <w:jc w:val="both"/>
        <w:rPr>
          <w:color w:val="000000"/>
        </w:rPr>
      </w:pPr>
      <w:r>
        <w:rPr>
          <w:color w:val="000000"/>
        </w:rPr>
        <w:lastRenderedPageBreak/>
        <w:t>Rad stalnih sudskih tumača prati županijski sud koji ih je imenovao i Ministarstvo pravosuđa.</w:t>
      </w:r>
    </w:p>
    <w:p w:rsidR="004B6F5E" w:rsidRDefault="004B6F5E" w:rsidP="004B6F5E">
      <w:pPr>
        <w:jc w:val="center"/>
        <w:rPr>
          <w:color w:val="000000"/>
        </w:rPr>
      </w:pPr>
      <w:r>
        <w:rPr>
          <w:color w:val="000000"/>
          <w:sz w:val="27"/>
          <w:szCs w:val="27"/>
        </w:rPr>
        <w:br/>
      </w:r>
      <w:r>
        <w:rPr>
          <w:color w:val="000000"/>
        </w:rPr>
        <w:t>PRAVA STALNIH SUDSKIH TUMAČA</w:t>
      </w:r>
    </w:p>
    <w:p w:rsidR="004B6F5E" w:rsidRDefault="004B6F5E" w:rsidP="004B6F5E">
      <w:pPr>
        <w:jc w:val="center"/>
        <w:rPr>
          <w:color w:val="000000"/>
        </w:rPr>
      </w:pPr>
    </w:p>
    <w:p w:rsidR="004B6F5E" w:rsidRDefault="004B6F5E" w:rsidP="004B6F5E">
      <w:pPr>
        <w:jc w:val="center"/>
        <w:rPr>
          <w:color w:val="000000"/>
        </w:rPr>
      </w:pPr>
      <w:r>
        <w:rPr>
          <w:color w:val="000000"/>
        </w:rPr>
        <w:t>1. Pravo na naknadu troškova</w:t>
      </w:r>
    </w:p>
    <w:p w:rsidR="004B6F5E" w:rsidRDefault="004B6F5E" w:rsidP="004B6F5E">
      <w:pPr>
        <w:jc w:val="center"/>
        <w:rPr>
          <w:color w:val="000000"/>
        </w:rPr>
      </w:pPr>
    </w:p>
    <w:p w:rsidR="004B6F5E" w:rsidRDefault="004B6F5E" w:rsidP="004B6F5E">
      <w:pPr>
        <w:jc w:val="center"/>
        <w:rPr>
          <w:color w:val="000000"/>
        </w:rPr>
      </w:pPr>
      <w:r>
        <w:rPr>
          <w:color w:val="000000"/>
        </w:rPr>
        <w:t>Članak 25.</w:t>
      </w:r>
    </w:p>
    <w:p w:rsidR="004B6F5E" w:rsidRDefault="004B6F5E" w:rsidP="004B6F5E">
      <w:pPr>
        <w:rPr>
          <w:color w:val="000000"/>
        </w:rPr>
      </w:pPr>
    </w:p>
    <w:p w:rsidR="004B6F5E" w:rsidRDefault="004B6F5E" w:rsidP="004B6F5E">
      <w:pPr>
        <w:ind w:firstLine="720"/>
        <w:jc w:val="both"/>
        <w:rPr>
          <w:color w:val="000000"/>
        </w:rPr>
      </w:pPr>
      <w:r>
        <w:rPr>
          <w:color w:val="000000"/>
        </w:rPr>
        <w:t>Stalni sudski tumač ima pravo na naknadu troškova koje je imao u svezi s prevođenjem.</w:t>
      </w:r>
    </w:p>
    <w:p w:rsidR="004B6F5E" w:rsidRDefault="004B6F5E" w:rsidP="004B6F5E">
      <w:pPr>
        <w:rPr>
          <w:color w:val="000000"/>
        </w:rPr>
      </w:pPr>
    </w:p>
    <w:p w:rsidR="004B6F5E" w:rsidRDefault="004B6F5E" w:rsidP="004B6F5E">
      <w:pPr>
        <w:ind w:firstLine="720"/>
        <w:rPr>
          <w:color w:val="000000"/>
        </w:rPr>
      </w:pPr>
      <w:r>
        <w:rPr>
          <w:color w:val="000000"/>
        </w:rPr>
        <w:t>Pravo iz stavka 1.ovog članka obuhvaća:</w:t>
      </w:r>
    </w:p>
    <w:p w:rsidR="004B6F5E" w:rsidRDefault="004B6F5E" w:rsidP="004B6F5E">
      <w:pPr>
        <w:ind w:left="720"/>
        <w:rPr>
          <w:color w:val="000000"/>
        </w:rPr>
      </w:pPr>
      <w:r>
        <w:rPr>
          <w:color w:val="000000"/>
        </w:rPr>
        <w:t>– putne troškove,</w:t>
      </w:r>
    </w:p>
    <w:p w:rsidR="004B6F5E" w:rsidRDefault="004B6F5E" w:rsidP="004B6F5E">
      <w:pPr>
        <w:ind w:left="720"/>
        <w:rPr>
          <w:color w:val="000000"/>
        </w:rPr>
      </w:pPr>
      <w:r>
        <w:rPr>
          <w:color w:val="000000"/>
        </w:rPr>
        <w:t>– dnevnice,</w:t>
      </w:r>
    </w:p>
    <w:p w:rsidR="004B6F5E" w:rsidRDefault="004B6F5E" w:rsidP="004B6F5E">
      <w:pPr>
        <w:ind w:left="720"/>
        <w:rPr>
          <w:color w:val="000000"/>
        </w:rPr>
      </w:pPr>
      <w:r>
        <w:rPr>
          <w:color w:val="000000"/>
        </w:rPr>
        <w:t>– troškove za smještaj (noćenje).</w:t>
      </w:r>
    </w:p>
    <w:p w:rsidR="004B6F5E" w:rsidRDefault="004B6F5E" w:rsidP="004B6F5E">
      <w:pPr>
        <w:jc w:val="center"/>
        <w:rPr>
          <w:color w:val="000000"/>
        </w:rPr>
      </w:pPr>
    </w:p>
    <w:p w:rsidR="004B6F5E" w:rsidRDefault="004B6F5E" w:rsidP="004B6F5E">
      <w:pPr>
        <w:jc w:val="center"/>
        <w:rPr>
          <w:color w:val="000000"/>
        </w:rPr>
      </w:pPr>
      <w:r>
        <w:rPr>
          <w:color w:val="000000"/>
        </w:rPr>
        <w:t>Članak 26.</w:t>
      </w:r>
    </w:p>
    <w:p w:rsidR="004B6F5E" w:rsidRDefault="004B6F5E" w:rsidP="004B6F5E">
      <w:pPr>
        <w:jc w:val="center"/>
        <w:rPr>
          <w:color w:val="000000"/>
        </w:rPr>
      </w:pPr>
    </w:p>
    <w:p w:rsidR="004B6F5E" w:rsidRDefault="004B6F5E" w:rsidP="004B6F5E">
      <w:pPr>
        <w:ind w:firstLine="720"/>
        <w:jc w:val="both"/>
        <w:rPr>
          <w:color w:val="000000"/>
        </w:rPr>
      </w:pPr>
      <w:r>
        <w:rPr>
          <w:color w:val="000000"/>
        </w:rPr>
        <w:t xml:space="preserve">Pravo na naknadu putnih troškova obuhvaća naknadu za prijevoz sredstvima javnog prometa. </w:t>
      </w:r>
    </w:p>
    <w:p w:rsidR="004B6F5E" w:rsidRDefault="004B6F5E" w:rsidP="004B6F5E">
      <w:pPr>
        <w:rPr>
          <w:color w:val="000000"/>
        </w:rPr>
      </w:pPr>
    </w:p>
    <w:p w:rsidR="004B6F5E" w:rsidRDefault="004B6F5E" w:rsidP="004B6F5E">
      <w:pPr>
        <w:ind w:firstLine="720"/>
        <w:jc w:val="both"/>
        <w:rPr>
          <w:color w:val="000000"/>
        </w:rPr>
      </w:pPr>
      <w:r>
        <w:rPr>
          <w:color w:val="000000"/>
        </w:rPr>
        <w:t>Troškovi iz stavka 1.ovog članka obuhvaćaju izdatke za dolazak iz mjesta prebivališta odnosno boravišta stalnog sudskog tumača do mjesta obavljanja prijevoda te izdatke za povratak u mjesto prebivališta od</w:t>
      </w:r>
      <w:r>
        <w:rPr>
          <w:color w:val="000000"/>
        </w:rPr>
        <w:softHyphen/>
        <w:t>nosno boravišta stalnog sudskog tumača. Ovi troškovi obračunavaju se u visini prijevoznih troškova javnog prometa u mjestu prebivališta odnosno boravišta stalnog sudskog tumača.</w:t>
      </w:r>
    </w:p>
    <w:p w:rsidR="004B6F5E" w:rsidRDefault="004B6F5E" w:rsidP="004B6F5E">
      <w:pPr>
        <w:rPr>
          <w:color w:val="000000"/>
        </w:rPr>
      </w:pPr>
    </w:p>
    <w:p w:rsidR="004B6F5E" w:rsidRDefault="004B6F5E" w:rsidP="004B6F5E">
      <w:pPr>
        <w:ind w:firstLine="720"/>
        <w:jc w:val="both"/>
        <w:rPr>
          <w:color w:val="000000"/>
        </w:rPr>
      </w:pPr>
      <w:r>
        <w:rPr>
          <w:color w:val="000000"/>
        </w:rPr>
        <w:t>Sredstva javnog prometa u smislu ovog Pravilnika su tramvaj, vlak, autobus, brod i zrakoplov.</w:t>
      </w:r>
    </w:p>
    <w:p w:rsidR="004B6F5E" w:rsidRDefault="004B6F5E" w:rsidP="004B6F5E">
      <w:pPr>
        <w:jc w:val="center"/>
        <w:rPr>
          <w:color w:val="000000"/>
        </w:rPr>
      </w:pPr>
    </w:p>
    <w:p w:rsidR="004B6F5E" w:rsidRDefault="004B6F5E" w:rsidP="004B6F5E">
      <w:pPr>
        <w:jc w:val="center"/>
        <w:rPr>
          <w:color w:val="000000"/>
        </w:rPr>
      </w:pPr>
      <w:r>
        <w:rPr>
          <w:color w:val="000000"/>
        </w:rPr>
        <w:t>Članak 27.</w:t>
      </w:r>
    </w:p>
    <w:p w:rsidR="004B6F5E" w:rsidRDefault="004B6F5E" w:rsidP="004B6F5E">
      <w:pPr>
        <w:jc w:val="center"/>
        <w:rPr>
          <w:color w:val="000000"/>
        </w:rPr>
      </w:pPr>
    </w:p>
    <w:p w:rsidR="004B6F5E" w:rsidRDefault="004B6F5E" w:rsidP="004B6F5E">
      <w:pPr>
        <w:ind w:firstLine="720"/>
        <w:jc w:val="both"/>
        <w:rPr>
          <w:color w:val="000000"/>
        </w:rPr>
      </w:pPr>
      <w:r>
        <w:rPr>
          <w:color w:val="000000"/>
        </w:rPr>
        <w:t>Pravo na naknadu putnih troškova stalnom sudskom tumaču pripada za putovanje obavljeno najkraćim putem i najekonomičnijim prometnim sredstvom.</w:t>
      </w:r>
    </w:p>
    <w:p w:rsidR="004B6F5E" w:rsidRDefault="004B6F5E" w:rsidP="004B6F5E">
      <w:pPr>
        <w:rPr>
          <w:color w:val="000000"/>
        </w:rPr>
      </w:pPr>
    </w:p>
    <w:p w:rsidR="004B6F5E" w:rsidRDefault="004B6F5E" w:rsidP="004B6F5E">
      <w:pPr>
        <w:ind w:firstLine="720"/>
        <w:jc w:val="both"/>
        <w:rPr>
          <w:color w:val="000000"/>
        </w:rPr>
      </w:pPr>
      <w:r>
        <w:rPr>
          <w:color w:val="000000"/>
        </w:rPr>
        <w:t>Putni troškovi obračunavaju se na temelju urednog i vjerodostojnog putnog naloga i priloženih isprava (računa), kojima se dokazuju putni troškovi i drugi izdaci navedeni u putnom nalogu.</w:t>
      </w:r>
    </w:p>
    <w:p w:rsidR="004B6F5E" w:rsidRDefault="004B6F5E" w:rsidP="004B6F5E">
      <w:pPr>
        <w:jc w:val="center"/>
        <w:rPr>
          <w:color w:val="000000"/>
        </w:rPr>
      </w:pPr>
      <w:r>
        <w:rPr>
          <w:color w:val="000000"/>
        </w:rPr>
        <w:t>Članak 28.</w:t>
      </w:r>
    </w:p>
    <w:p w:rsidR="004B6F5E" w:rsidRDefault="004B6F5E" w:rsidP="004B6F5E">
      <w:pPr>
        <w:jc w:val="center"/>
        <w:rPr>
          <w:color w:val="000000"/>
        </w:rPr>
      </w:pPr>
    </w:p>
    <w:p w:rsidR="004B6F5E" w:rsidRDefault="004B6F5E" w:rsidP="004B6F5E">
      <w:pPr>
        <w:ind w:firstLine="720"/>
        <w:jc w:val="both"/>
        <w:rPr>
          <w:color w:val="000000"/>
        </w:rPr>
      </w:pPr>
      <w:r>
        <w:rPr>
          <w:color w:val="000000"/>
        </w:rPr>
        <w:t>Za vrijeme obavljanja poslova izvan mjesta prebivališta između 8 – 12 sati stalnom sudskom tumaču pripada pravo na naknadu u visini 1/2 dnevnice, a za vrijeme provedeno između 12 – 24 sata cijela dnevnica, u visini koja se priznaje sucu suda koji vodi postupak.</w:t>
      </w:r>
    </w:p>
    <w:p w:rsidR="004B6F5E" w:rsidRDefault="004B6F5E" w:rsidP="004B6F5E">
      <w:pPr>
        <w:rPr>
          <w:color w:val="000000"/>
        </w:rPr>
      </w:pPr>
    </w:p>
    <w:p w:rsidR="004B6F5E" w:rsidRDefault="004B6F5E" w:rsidP="004B6F5E">
      <w:pPr>
        <w:ind w:firstLine="720"/>
        <w:jc w:val="both"/>
        <w:rPr>
          <w:color w:val="000000"/>
          <w:sz w:val="27"/>
          <w:szCs w:val="27"/>
        </w:rPr>
      </w:pPr>
      <w:r>
        <w:rPr>
          <w:color w:val="000000"/>
        </w:rPr>
        <w:t>Izdaci za smještaj (noćenje) priznaju se u punom iznosu prema priloženom računu do visine koja se priznaje sucu suda koji vodi postupak</w:t>
      </w:r>
      <w:r>
        <w:rPr>
          <w:color w:val="000000"/>
          <w:sz w:val="27"/>
          <w:szCs w:val="27"/>
        </w:rPr>
        <w:t>.</w:t>
      </w:r>
    </w:p>
    <w:p w:rsidR="004B6F5E" w:rsidRDefault="004B6F5E" w:rsidP="004B6F5E">
      <w:pPr>
        <w:ind w:firstLine="720"/>
        <w:rPr>
          <w:color w:val="000000"/>
          <w:sz w:val="27"/>
          <w:szCs w:val="27"/>
        </w:rPr>
      </w:pPr>
    </w:p>
    <w:p w:rsidR="004B6F5E" w:rsidRDefault="004B6F5E" w:rsidP="004B6F5E">
      <w:pPr>
        <w:jc w:val="center"/>
        <w:rPr>
          <w:color w:val="000000"/>
        </w:rPr>
      </w:pPr>
      <w:r>
        <w:rPr>
          <w:color w:val="000000"/>
        </w:rPr>
        <w:t>2. Pravo na nagradu za rad</w:t>
      </w:r>
    </w:p>
    <w:p w:rsidR="004B6F5E" w:rsidRDefault="004B6F5E" w:rsidP="004B6F5E">
      <w:pPr>
        <w:jc w:val="center"/>
        <w:rPr>
          <w:color w:val="000000"/>
        </w:rPr>
      </w:pPr>
    </w:p>
    <w:p w:rsidR="004B6F5E" w:rsidRDefault="004B6F5E" w:rsidP="004B6F5E">
      <w:pPr>
        <w:jc w:val="center"/>
        <w:rPr>
          <w:color w:val="000000"/>
        </w:rPr>
      </w:pPr>
      <w:r>
        <w:rPr>
          <w:color w:val="000000"/>
        </w:rPr>
        <w:lastRenderedPageBreak/>
        <w:t>Članak 29.</w:t>
      </w:r>
    </w:p>
    <w:p w:rsidR="004B6F5E" w:rsidRDefault="004B6F5E" w:rsidP="004B6F5E">
      <w:pPr>
        <w:jc w:val="center"/>
        <w:rPr>
          <w:color w:val="000000"/>
        </w:rPr>
      </w:pPr>
    </w:p>
    <w:p w:rsidR="004B6F5E" w:rsidRDefault="004B6F5E" w:rsidP="004B6F5E">
      <w:pPr>
        <w:ind w:firstLine="720"/>
        <w:rPr>
          <w:color w:val="000000"/>
        </w:rPr>
      </w:pPr>
      <w:r>
        <w:rPr>
          <w:color w:val="000000"/>
        </w:rPr>
        <w:t xml:space="preserve">Za obavljeni rad stalni sudski tumač ima pravo na nagradu. </w:t>
      </w:r>
    </w:p>
    <w:p w:rsidR="004B6F5E" w:rsidRDefault="004B6F5E" w:rsidP="004B6F5E">
      <w:pPr>
        <w:rPr>
          <w:color w:val="000000"/>
        </w:rPr>
      </w:pPr>
    </w:p>
    <w:p w:rsidR="004B6F5E" w:rsidRDefault="004B6F5E" w:rsidP="004B6F5E">
      <w:pPr>
        <w:ind w:firstLine="720"/>
        <w:jc w:val="both"/>
        <w:rPr>
          <w:color w:val="000000"/>
        </w:rPr>
      </w:pPr>
      <w:r>
        <w:rPr>
          <w:color w:val="000000"/>
        </w:rPr>
        <w:t xml:space="preserve">Nagrade za pisane prijevode obračunavaju se po normiranom retku od 50 slovnih mjesta. </w:t>
      </w:r>
    </w:p>
    <w:p w:rsidR="004B6F5E" w:rsidRDefault="004B6F5E" w:rsidP="004B6F5E">
      <w:pPr>
        <w:jc w:val="both"/>
        <w:rPr>
          <w:color w:val="000000"/>
        </w:rPr>
      </w:pPr>
    </w:p>
    <w:p w:rsidR="004B6F5E" w:rsidRDefault="004B6F5E" w:rsidP="004B6F5E">
      <w:pPr>
        <w:ind w:firstLine="708"/>
        <w:jc w:val="both"/>
        <w:rPr>
          <w:color w:val="000000"/>
        </w:rPr>
      </w:pPr>
      <w:r>
        <w:rPr>
          <w:color w:val="000000"/>
        </w:rPr>
        <w:t xml:space="preserve">Najmanja obračunska jedinica je jedna normirana kartica s 30 </w:t>
      </w:r>
      <w:proofErr w:type="spellStart"/>
      <w:r>
        <w:rPr>
          <w:color w:val="000000"/>
        </w:rPr>
        <w:t>redaka.U</w:t>
      </w:r>
      <w:proofErr w:type="spellEnd"/>
      <w:r>
        <w:rPr>
          <w:color w:val="000000"/>
        </w:rPr>
        <w:t xml:space="preserve"> obračun retka ulazi svaki otkucani znak (slovo, interpunkcija, formula, znakovlje) s razmacima.</w:t>
      </w:r>
    </w:p>
    <w:p w:rsidR="004B6F5E" w:rsidRDefault="004B6F5E" w:rsidP="004B6F5E">
      <w:pPr>
        <w:ind w:left="720"/>
        <w:rPr>
          <w:color w:val="000000"/>
        </w:rPr>
      </w:pPr>
      <w:r>
        <w:rPr>
          <w:color w:val="000000"/>
        </w:rPr>
        <w:br/>
        <w:t>Visina nagrade za rad stalnog sudskog tumača iznosi:</w:t>
      </w:r>
    </w:p>
    <w:p w:rsidR="004B6F5E" w:rsidRDefault="004B6F5E" w:rsidP="004B6F5E">
      <w:pPr>
        <w:numPr>
          <w:ilvl w:val="0"/>
          <w:numId w:val="4"/>
        </w:numPr>
        <w:rPr>
          <w:color w:val="000000"/>
        </w:rPr>
      </w:pPr>
      <w:r>
        <w:rPr>
          <w:color w:val="000000"/>
        </w:rPr>
        <w:t>za prijevod sa stranog jezika na hrvatski jezik i za prijevod s hrvatskog jezika na strani jezik 5,00 kuna bruto bez PDV-a za svaki redak,</w:t>
      </w:r>
    </w:p>
    <w:p w:rsidR="004B6F5E" w:rsidRDefault="004B6F5E" w:rsidP="004B6F5E">
      <w:pPr>
        <w:numPr>
          <w:ilvl w:val="0"/>
          <w:numId w:val="4"/>
        </w:numPr>
        <w:rPr>
          <w:color w:val="000000"/>
        </w:rPr>
      </w:pPr>
      <w:r>
        <w:rPr>
          <w:color w:val="000000"/>
        </w:rPr>
        <w:t xml:space="preserve">za prijevod znanstvenih, stručnih i tekstova s posebnim </w:t>
      </w:r>
      <w:proofErr w:type="spellStart"/>
      <w:r>
        <w:rPr>
          <w:color w:val="000000"/>
        </w:rPr>
        <w:t>pis</w:t>
      </w:r>
      <w:proofErr w:type="spellEnd"/>
      <w:r>
        <w:rPr>
          <w:color w:val="000000"/>
        </w:rPr>
        <w:softHyphen/>
        <w:t>mom (arapski, kineski, japanski i sl.) 7,50 kuna bruto bez PDV-a za svaki redak,</w:t>
      </w:r>
    </w:p>
    <w:p w:rsidR="004B6F5E" w:rsidRDefault="004B6F5E" w:rsidP="004B6F5E">
      <w:pPr>
        <w:numPr>
          <w:ilvl w:val="0"/>
          <w:numId w:val="4"/>
        </w:numPr>
        <w:rPr>
          <w:color w:val="000000"/>
        </w:rPr>
      </w:pPr>
      <w:r>
        <w:rPr>
          <w:color w:val="000000"/>
        </w:rPr>
        <w:t>za prijevod s jednog na drugi strani jezik 5,00 kuna bruto bez PDV-a za svaki redak.</w:t>
      </w:r>
    </w:p>
    <w:p w:rsidR="004B6F5E" w:rsidRDefault="004B6F5E" w:rsidP="004B6F5E">
      <w:pPr>
        <w:rPr>
          <w:color w:val="000000"/>
        </w:rPr>
      </w:pPr>
    </w:p>
    <w:p w:rsidR="004B6F5E" w:rsidRDefault="004B6F5E" w:rsidP="004B6F5E">
      <w:pPr>
        <w:ind w:firstLine="708"/>
        <w:jc w:val="both"/>
        <w:rPr>
          <w:color w:val="000000"/>
        </w:rPr>
      </w:pPr>
      <w:r>
        <w:rPr>
          <w:color w:val="000000"/>
        </w:rPr>
        <w:t>Nagrada za izradu hitnih prijevoda iz stavka 2.ovog članka uvećava se za 50%.</w:t>
      </w:r>
    </w:p>
    <w:p w:rsidR="004B6F5E" w:rsidRDefault="004B6F5E" w:rsidP="004B6F5E">
      <w:pPr>
        <w:ind w:firstLine="360"/>
        <w:rPr>
          <w:color w:val="000000"/>
        </w:rPr>
      </w:pPr>
    </w:p>
    <w:p w:rsidR="004B6F5E" w:rsidRDefault="004B6F5E" w:rsidP="004B6F5E">
      <w:pPr>
        <w:jc w:val="center"/>
        <w:rPr>
          <w:color w:val="000000"/>
        </w:rPr>
      </w:pPr>
      <w:r>
        <w:rPr>
          <w:color w:val="000000"/>
        </w:rPr>
        <w:t>Članak 30.</w:t>
      </w:r>
    </w:p>
    <w:p w:rsidR="004B6F5E" w:rsidRDefault="004B6F5E" w:rsidP="004B6F5E">
      <w:pPr>
        <w:jc w:val="center"/>
        <w:rPr>
          <w:color w:val="000000"/>
        </w:rPr>
      </w:pPr>
    </w:p>
    <w:p w:rsidR="004B6F5E" w:rsidRDefault="004B6F5E" w:rsidP="004B6F5E">
      <w:pPr>
        <w:ind w:firstLine="720"/>
        <w:jc w:val="both"/>
        <w:rPr>
          <w:color w:val="000000"/>
        </w:rPr>
      </w:pPr>
      <w:r>
        <w:rPr>
          <w:color w:val="000000"/>
        </w:rPr>
        <w:t>Za prevođenje izgovorenog teksta s hrvatskog jezika na strani jezik, sa stranog jezika na hrvatski jezik te s jednog stranog jezika na drugi strani jezik stalnom sudskom tumaču pripada nagrada u iznosu od 150,00 kuna bruto bez PDV-a za svaki započeti sat.</w:t>
      </w:r>
    </w:p>
    <w:p w:rsidR="004B6F5E" w:rsidRDefault="004B6F5E" w:rsidP="004B6F5E">
      <w:pPr>
        <w:rPr>
          <w:color w:val="000000"/>
        </w:rPr>
      </w:pPr>
    </w:p>
    <w:p w:rsidR="004B6F5E" w:rsidRDefault="004B6F5E" w:rsidP="004B6F5E">
      <w:pPr>
        <w:ind w:firstLine="720"/>
        <w:jc w:val="both"/>
        <w:rPr>
          <w:color w:val="000000"/>
        </w:rPr>
      </w:pPr>
      <w:r>
        <w:rPr>
          <w:color w:val="000000"/>
        </w:rPr>
        <w:t xml:space="preserve">U vrijeme utrošeno za prevođenje uračunava se cjelokupno vrijeme provedeno od dolaska stalnog sudskog tumača u mjesto gdje se </w:t>
      </w:r>
      <w:proofErr w:type="spellStart"/>
      <w:r>
        <w:rPr>
          <w:color w:val="000000"/>
        </w:rPr>
        <w:t>obav</w:t>
      </w:r>
      <w:proofErr w:type="spellEnd"/>
      <w:r>
        <w:rPr>
          <w:color w:val="000000"/>
        </w:rPr>
        <w:softHyphen/>
      </w:r>
      <w:proofErr w:type="spellStart"/>
      <w:r>
        <w:rPr>
          <w:color w:val="000000"/>
        </w:rPr>
        <w:t>lja</w:t>
      </w:r>
      <w:proofErr w:type="spellEnd"/>
      <w:r>
        <w:rPr>
          <w:color w:val="000000"/>
        </w:rPr>
        <w:t xml:space="preserve"> prevođenje do prestanka potrebe za njegovom prisutnošću u tom mjestu.</w:t>
      </w:r>
    </w:p>
    <w:p w:rsidR="004B6F5E" w:rsidRDefault="004B6F5E" w:rsidP="004B6F5E">
      <w:pPr>
        <w:ind w:firstLine="720"/>
        <w:rPr>
          <w:color w:val="000000"/>
        </w:rPr>
      </w:pPr>
    </w:p>
    <w:p w:rsidR="004B6F5E" w:rsidRDefault="004B6F5E" w:rsidP="004B6F5E">
      <w:pPr>
        <w:jc w:val="center"/>
        <w:rPr>
          <w:color w:val="000000"/>
        </w:rPr>
      </w:pPr>
      <w:r>
        <w:rPr>
          <w:color w:val="000000"/>
        </w:rPr>
        <w:t>Članak 31.</w:t>
      </w:r>
    </w:p>
    <w:p w:rsidR="004B6F5E" w:rsidRDefault="004B6F5E" w:rsidP="004B6F5E">
      <w:pPr>
        <w:jc w:val="center"/>
        <w:rPr>
          <w:color w:val="000000"/>
        </w:rPr>
      </w:pPr>
    </w:p>
    <w:p w:rsidR="004B6F5E" w:rsidRDefault="004B6F5E" w:rsidP="004B6F5E">
      <w:pPr>
        <w:ind w:firstLine="720"/>
        <w:jc w:val="both"/>
        <w:rPr>
          <w:color w:val="000000"/>
        </w:rPr>
      </w:pPr>
      <w:r>
        <w:rPr>
          <w:color w:val="000000"/>
        </w:rPr>
        <w:t>Visinu naknade troškova i nagrade za prevođenje pred sudom stalnom sudskom tumaču odmjerava sud po čijem zahtjevu je prevođenje obavljeno sukladno odredbama ovog Pravilnika.</w:t>
      </w:r>
    </w:p>
    <w:p w:rsidR="004B6F5E" w:rsidRDefault="004B6F5E" w:rsidP="004B6F5E">
      <w:pPr>
        <w:ind w:firstLine="720"/>
        <w:rPr>
          <w:color w:val="000000"/>
        </w:rPr>
      </w:pPr>
    </w:p>
    <w:p w:rsidR="004B6F5E" w:rsidRDefault="004B6F5E" w:rsidP="004B6F5E">
      <w:pPr>
        <w:jc w:val="center"/>
        <w:rPr>
          <w:color w:val="000000"/>
        </w:rPr>
      </w:pPr>
      <w:r>
        <w:rPr>
          <w:color w:val="000000"/>
        </w:rPr>
        <w:t xml:space="preserve">PEČAT </w:t>
      </w:r>
    </w:p>
    <w:p w:rsidR="004B6F5E" w:rsidRDefault="004B6F5E" w:rsidP="004B6F5E">
      <w:pPr>
        <w:jc w:val="center"/>
        <w:rPr>
          <w:color w:val="000000"/>
        </w:rPr>
      </w:pPr>
    </w:p>
    <w:p w:rsidR="004B6F5E" w:rsidRDefault="004B6F5E" w:rsidP="004B6F5E">
      <w:pPr>
        <w:jc w:val="center"/>
        <w:rPr>
          <w:color w:val="000000"/>
        </w:rPr>
      </w:pPr>
      <w:r>
        <w:rPr>
          <w:color w:val="000000"/>
        </w:rPr>
        <w:t>Članak 32.</w:t>
      </w:r>
    </w:p>
    <w:p w:rsidR="004B6F5E" w:rsidRDefault="004B6F5E" w:rsidP="004B6F5E">
      <w:pPr>
        <w:jc w:val="center"/>
        <w:rPr>
          <w:color w:val="000000"/>
        </w:rPr>
      </w:pPr>
    </w:p>
    <w:p w:rsidR="004B6F5E" w:rsidRDefault="004B6F5E" w:rsidP="004B6F5E">
      <w:pPr>
        <w:ind w:firstLine="720"/>
        <w:rPr>
          <w:color w:val="000000"/>
        </w:rPr>
      </w:pPr>
      <w:r>
        <w:rPr>
          <w:color w:val="000000"/>
        </w:rPr>
        <w:t>Stalni sudski tumač ima pečat kojeg je dužan nabaviti o svom trošku.</w:t>
      </w:r>
    </w:p>
    <w:p w:rsidR="004B6F5E" w:rsidRDefault="004B6F5E" w:rsidP="004B6F5E">
      <w:pPr>
        <w:rPr>
          <w:color w:val="000000"/>
        </w:rPr>
      </w:pPr>
    </w:p>
    <w:p w:rsidR="004B6F5E" w:rsidRDefault="004B6F5E" w:rsidP="004B6F5E">
      <w:pPr>
        <w:ind w:firstLine="720"/>
        <w:rPr>
          <w:color w:val="000000"/>
        </w:rPr>
      </w:pPr>
      <w:r>
        <w:rPr>
          <w:color w:val="000000"/>
        </w:rPr>
        <w:t xml:space="preserve">Pečat je okruglog oblika, bez grba Republike Hrvatske, promjera </w:t>
      </w:r>
      <w:smartTag w:uri="urn:schemas-microsoft-com:office:smarttags" w:element="metricconverter">
        <w:smartTagPr>
          <w:attr w:name="ProductID" w:val="38 mm"/>
        </w:smartTagPr>
        <w:r>
          <w:rPr>
            <w:color w:val="000000"/>
          </w:rPr>
          <w:t>38 mm</w:t>
        </w:r>
      </w:smartTag>
      <w:r>
        <w:rPr>
          <w:color w:val="000000"/>
        </w:rPr>
        <w:t>.</w:t>
      </w:r>
    </w:p>
    <w:p w:rsidR="004B6F5E" w:rsidRDefault="004B6F5E" w:rsidP="004B6F5E">
      <w:pPr>
        <w:rPr>
          <w:color w:val="000000"/>
        </w:rPr>
      </w:pPr>
    </w:p>
    <w:p w:rsidR="004B6F5E" w:rsidRDefault="004B6F5E" w:rsidP="004B6F5E">
      <w:pPr>
        <w:ind w:firstLine="720"/>
        <w:jc w:val="both"/>
        <w:rPr>
          <w:color w:val="000000"/>
        </w:rPr>
      </w:pPr>
      <w:r>
        <w:rPr>
          <w:color w:val="000000"/>
        </w:rPr>
        <w:t xml:space="preserve">Tekst pečata sadrži: ime, prezime i adresu stalnog sudskog tumača, naznaku „stalni sudski tumač“ i naznaku jezika za kojeg je imenovan. Tekst pečata je na hrvatskom jeziku te jeziku za kojeg je imenovan za stalnog sudskog tumača. </w:t>
      </w:r>
    </w:p>
    <w:p w:rsidR="004B6F5E" w:rsidRDefault="004B6F5E" w:rsidP="004B6F5E">
      <w:pPr>
        <w:ind w:firstLine="720"/>
        <w:rPr>
          <w:color w:val="000000"/>
        </w:rPr>
      </w:pPr>
    </w:p>
    <w:p w:rsidR="004B6F5E" w:rsidRDefault="004B6F5E" w:rsidP="004B6F5E">
      <w:pPr>
        <w:ind w:firstLine="720"/>
        <w:rPr>
          <w:color w:val="000000"/>
        </w:rPr>
      </w:pPr>
      <w:r>
        <w:rPr>
          <w:color w:val="000000"/>
        </w:rPr>
        <w:t>Otisak pečata je plave boje.</w:t>
      </w:r>
    </w:p>
    <w:p w:rsidR="004B6F5E" w:rsidRDefault="004B6F5E" w:rsidP="004B6F5E">
      <w:pPr>
        <w:rPr>
          <w:color w:val="000000"/>
        </w:rPr>
      </w:pPr>
    </w:p>
    <w:p w:rsidR="004B6F5E" w:rsidRDefault="004B6F5E" w:rsidP="004B6F5E">
      <w:pPr>
        <w:ind w:firstLine="720"/>
        <w:jc w:val="both"/>
        <w:rPr>
          <w:color w:val="000000"/>
        </w:rPr>
      </w:pPr>
      <w:r>
        <w:rPr>
          <w:color w:val="000000"/>
        </w:rPr>
        <w:lastRenderedPageBreak/>
        <w:t>Stalni sudski tumač dužan je otisak svog pečata i vlastoručni potpis pohraniti u županijskom sudu koji ga je imenovao.</w:t>
      </w:r>
    </w:p>
    <w:p w:rsidR="004B6F5E" w:rsidRDefault="004B6F5E" w:rsidP="004B6F5E">
      <w:pPr>
        <w:ind w:firstLine="720"/>
        <w:rPr>
          <w:color w:val="000000"/>
        </w:rPr>
      </w:pPr>
    </w:p>
    <w:p w:rsidR="004B6F5E" w:rsidRDefault="004B6F5E" w:rsidP="004B6F5E">
      <w:pPr>
        <w:jc w:val="center"/>
        <w:rPr>
          <w:color w:val="000000"/>
        </w:rPr>
      </w:pPr>
      <w:r>
        <w:rPr>
          <w:color w:val="000000"/>
        </w:rPr>
        <w:t>NATPISNA PLOČA</w:t>
      </w:r>
    </w:p>
    <w:p w:rsidR="004B6F5E" w:rsidRDefault="004B6F5E" w:rsidP="004B6F5E">
      <w:pPr>
        <w:jc w:val="center"/>
        <w:rPr>
          <w:color w:val="000000"/>
        </w:rPr>
      </w:pPr>
    </w:p>
    <w:p w:rsidR="004B6F5E" w:rsidRDefault="004B6F5E" w:rsidP="004B6F5E">
      <w:pPr>
        <w:jc w:val="center"/>
        <w:rPr>
          <w:color w:val="000000"/>
        </w:rPr>
      </w:pPr>
      <w:r>
        <w:rPr>
          <w:color w:val="000000"/>
        </w:rPr>
        <w:t>Članak 33.</w:t>
      </w:r>
    </w:p>
    <w:p w:rsidR="004B6F5E" w:rsidRDefault="004B6F5E" w:rsidP="004B6F5E">
      <w:pPr>
        <w:jc w:val="center"/>
        <w:rPr>
          <w:color w:val="000000"/>
        </w:rPr>
      </w:pPr>
    </w:p>
    <w:p w:rsidR="004B6F5E" w:rsidRDefault="004B6F5E" w:rsidP="004B6F5E">
      <w:pPr>
        <w:ind w:firstLine="720"/>
        <w:jc w:val="both"/>
        <w:rPr>
          <w:color w:val="000000"/>
        </w:rPr>
      </w:pPr>
      <w:r>
        <w:rPr>
          <w:color w:val="000000"/>
        </w:rPr>
        <w:t>Stalni sudski tumač dužan je na zgradi u kojoj obavlja djelat</w:t>
      </w:r>
      <w:r>
        <w:rPr>
          <w:color w:val="000000"/>
        </w:rPr>
        <w:softHyphen/>
      </w:r>
      <w:proofErr w:type="spellStart"/>
      <w:r>
        <w:rPr>
          <w:color w:val="000000"/>
        </w:rPr>
        <w:t>nost</w:t>
      </w:r>
      <w:proofErr w:type="spellEnd"/>
      <w:r>
        <w:rPr>
          <w:color w:val="000000"/>
        </w:rPr>
        <w:t xml:space="preserve"> o svom trošku postaviti natpisnu ploču koja sadrži njegovo ime i prezime, naznaku “stalni sudski tumač”, naznaku jezika za kojeg je imenovan i adresu stalnog sudskog tumača.</w:t>
      </w:r>
    </w:p>
    <w:p w:rsidR="004B6F5E" w:rsidRDefault="004B6F5E" w:rsidP="004B6F5E">
      <w:pPr>
        <w:ind w:firstLine="720"/>
        <w:rPr>
          <w:color w:val="000000"/>
        </w:rPr>
      </w:pPr>
    </w:p>
    <w:p w:rsidR="004B6F5E" w:rsidRDefault="004B6F5E" w:rsidP="004B6F5E">
      <w:pPr>
        <w:jc w:val="center"/>
      </w:pPr>
      <w:r>
        <w:t>SLUŽBENA ISKAZNICA</w:t>
      </w:r>
    </w:p>
    <w:p w:rsidR="004B6F5E" w:rsidRDefault="004B6F5E" w:rsidP="004B6F5E">
      <w:pPr>
        <w:jc w:val="center"/>
      </w:pPr>
    </w:p>
    <w:p w:rsidR="004B6F5E" w:rsidRDefault="004B6F5E" w:rsidP="004B6F5E">
      <w:pPr>
        <w:jc w:val="center"/>
      </w:pPr>
      <w:r>
        <w:t>Članak 34.</w:t>
      </w:r>
    </w:p>
    <w:p w:rsidR="004B6F5E" w:rsidRDefault="004B6F5E" w:rsidP="004B6F5E">
      <w:pPr>
        <w:jc w:val="center"/>
      </w:pPr>
    </w:p>
    <w:p w:rsidR="004B6F5E" w:rsidRDefault="004B6F5E" w:rsidP="004B6F5E">
      <w:pPr>
        <w:ind w:firstLine="720"/>
      </w:pPr>
      <w:r>
        <w:t>Stalni sudski tumač ima službenu iskaznicu.</w:t>
      </w:r>
    </w:p>
    <w:p w:rsidR="004B6F5E" w:rsidRDefault="004B6F5E" w:rsidP="004B6F5E"/>
    <w:p w:rsidR="004B6F5E" w:rsidRDefault="004B6F5E" w:rsidP="004B6F5E">
      <w:pPr>
        <w:ind w:firstLine="720"/>
        <w:jc w:val="both"/>
      </w:pPr>
      <w:r>
        <w:t>Službenu iskaznicu stalnom sudskom tumaču izdaje predsjednik županijskog suda koji ga je imenovao.</w:t>
      </w:r>
    </w:p>
    <w:p w:rsidR="004B6F5E" w:rsidRDefault="004B6F5E" w:rsidP="004B6F5E"/>
    <w:p w:rsidR="004B6F5E" w:rsidRDefault="004B6F5E" w:rsidP="004B6F5E">
      <w:pPr>
        <w:ind w:firstLine="720"/>
        <w:jc w:val="both"/>
      </w:pPr>
      <w:r>
        <w:t xml:space="preserve">Nakon davanja prisege imenovani stalni sudski tumač predsjedniku nadležnog županijskog suda podnosi zahtjev za izdavanje službene </w:t>
      </w:r>
      <w:proofErr w:type="spellStart"/>
      <w:r>
        <w:t>iskaznice.Uz</w:t>
      </w:r>
      <w:proofErr w:type="spellEnd"/>
      <w:r>
        <w:t xml:space="preserve"> zahtjev se prilažu i dvije fotografije veličine 28x32 mm.</w:t>
      </w:r>
    </w:p>
    <w:p w:rsidR="004B6F5E" w:rsidRDefault="004B6F5E" w:rsidP="004B6F5E"/>
    <w:p w:rsidR="004B6F5E" w:rsidRDefault="004B6F5E" w:rsidP="004B6F5E">
      <w:pPr>
        <w:ind w:firstLine="720"/>
        <w:jc w:val="both"/>
      </w:pPr>
      <w:r>
        <w:t xml:space="preserve">Službena iskaznica je pravokutnog oblika veličine 8,5 x </w:t>
      </w:r>
      <w:smartTag w:uri="urn:schemas-microsoft-com:office:smarttags" w:element="metricconverter">
        <w:smartTagPr>
          <w:attr w:name="ProductID" w:val="5,5 cm"/>
        </w:smartTagPr>
        <w:r>
          <w:t>5,</w:t>
        </w:r>
        <w:proofErr w:type="spellStart"/>
        <w:r>
          <w:t>5</w:t>
        </w:r>
        <w:proofErr w:type="spellEnd"/>
        <w:r>
          <w:t xml:space="preserve"> cm</w:t>
        </w:r>
      </w:smartTag>
      <w:r>
        <w:t xml:space="preserve"> na kartonskoj podlozi ili pergamentu bijele boje.</w:t>
      </w:r>
    </w:p>
    <w:p w:rsidR="004B6F5E" w:rsidRDefault="004B6F5E" w:rsidP="004B6F5E"/>
    <w:p w:rsidR="004B6F5E" w:rsidRDefault="004B6F5E" w:rsidP="004B6F5E">
      <w:pPr>
        <w:ind w:firstLine="720"/>
        <w:jc w:val="both"/>
      </w:pPr>
      <w:r>
        <w:t>Službena iskaznica izrađuje se tehnikom zaštitnog tiska Republike Hrvatske.</w:t>
      </w:r>
    </w:p>
    <w:p w:rsidR="004B6F5E" w:rsidRDefault="004B6F5E" w:rsidP="004B6F5E">
      <w:pPr>
        <w:ind w:firstLine="720"/>
      </w:pPr>
    </w:p>
    <w:p w:rsidR="004B6F5E" w:rsidRDefault="004B6F5E" w:rsidP="004B6F5E">
      <w:pPr>
        <w:ind w:firstLine="720"/>
      </w:pPr>
      <w:r>
        <w:t>Troškove izdavanja službene iskaznice snosi svaki sudski tumač osobno.</w:t>
      </w:r>
    </w:p>
    <w:p w:rsidR="004B6F5E" w:rsidRDefault="004B6F5E" w:rsidP="004B6F5E"/>
    <w:p w:rsidR="004B6F5E" w:rsidRDefault="004B6F5E" w:rsidP="004B6F5E">
      <w:pPr>
        <w:ind w:firstLine="720"/>
        <w:jc w:val="both"/>
      </w:pPr>
      <w:r>
        <w:t>Obrazac službene iskaznice za stalne sudske tumače s odgovarajućim sadržajem otisnut je u prilogu ovog Pravilnika (obrazac broj 2).</w:t>
      </w:r>
    </w:p>
    <w:p w:rsidR="004B6F5E" w:rsidRDefault="004B6F5E" w:rsidP="004B6F5E">
      <w:pPr>
        <w:jc w:val="center"/>
      </w:pPr>
    </w:p>
    <w:p w:rsidR="004B6F5E" w:rsidRDefault="004B6F5E" w:rsidP="004B6F5E">
      <w:pPr>
        <w:jc w:val="center"/>
      </w:pPr>
      <w:r>
        <w:t>Članak 35.</w:t>
      </w:r>
    </w:p>
    <w:p w:rsidR="004B6F5E" w:rsidRDefault="004B6F5E" w:rsidP="004B6F5E">
      <w:pPr>
        <w:jc w:val="center"/>
      </w:pPr>
    </w:p>
    <w:p w:rsidR="004B6F5E" w:rsidRDefault="004B6F5E" w:rsidP="004B6F5E">
      <w:pPr>
        <w:ind w:firstLine="720"/>
        <w:jc w:val="both"/>
      </w:pPr>
      <w:r>
        <w:t>O izdanim službenim iskaznicama iz članka 34. ovog Pravilnika u nadležnom županijskom sudu vodi se evidencija.</w:t>
      </w:r>
    </w:p>
    <w:p w:rsidR="004B6F5E" w:rsidRDefault="004B6F5E" w:rsidP="004B6F5E"/>
    <w:p w:rsidR="004B6F5E" w:rsidRDefault="004B6F5E" w:rsidP="004B6F5E">
      <w:pPr>
        <w:ind w:firstLine="720"/>
        <w:jc w:val="both"/>
      </w:pPr>
      <w:r>
        <w:t>Evidencija iz stavka 1.ovog članka sadrži redni broj, ime i prezime stalnog sudskog tumača kojem je izdana službena iskaznica, osobni identifikacijski broj (</w:t>
      </w:r>
      <w:proofErr w:type="spellStart"/>
      <w:r>
        <w:t>OIB</w:t>
      </w:r>
      <w:proofErr w:type="spellEnd"/>
      <w:r>
        <w:t>), datum izdavanja, vrijeme trajanja ovlaštenja i rubriku za napomene.</w:t>
      </w:r>
    </w:p>
    <w:p w:rsidR="004B6F5E" w:rsidRDefault="004B6F5E" w:rsidP="004B6F5E">
      <w:pPr>
        <w:ind w:firstLine="720"/>
      </w:pPr>
    </w:p>
    <w:p w:rsidR="004B6F5E" w:rsidRDefault="004B6F5E" w:rsidP="004B6F5E">
      <w:pPr>
        <w:jc w:val="center"/>
      </w:pPr>
      <w:r>
        <w:t>Članak 36.</w:t>
      </w:r>
    </w:p>
    <w:p w:rsidR="004B6F5E" w:rsidRDefault="004B6F5E" w:rsidP="004B6F5E">
      <w:pPr>
        <w:jc w:val="center"/>
      </w:pPr>
    </w:p>
    <w:p w:rsidR="004B6F5E" w:rsidRDefault="004B6F5E" w:rsidP="004B6F5E">
      <w:pPr>
        <w:ind w:firstLine="720"/>
        <w:jc w:val="both"/>
      </w:pPr>
      <w:r>
        <w:t>Službena iskaznica poništava se kada stalnom sudskom tumaču prestane pravo na obavljanje poslova stalnog sudskog tumača za koje mu je izdana.</w:t>
      </w:r>
    </w:p>
    <w:p w:rsidR="004B6F5E" w:rsidRDefault="004B6F5E" w:rsidP="004B6F5E">
      <w:pPr>
        <w:ind w:firstLine="720"/>
      </w:pPr>
    </w:p>
    <w:p w:rsidR="004B6F5E" w:rsidRDefault="004B6F5E" w:rsidP="004B6F5E">
      <w:pPr>
        <w:jc w:val="center"/>
      </w:pPr>
      <w:r>
        <w:t>Članak 37.</w:t>
      </w:r>
    </w:p>
    <w:p w:rsidR="004B6F5E" w:rsidRDefault="004B6F5E" w:rsidP="004B6F5E">
      <w:pPr>
        <w:jc w:val="center"/>
      </w:pPr>
    </w:p>
    <w:p w:rsidR="004B6F5E" w:rsidRDefault="004B6F5E" w:rsidP="004B6F5E">
      <w:pPr>
        <w:ind w:firstLine="720"/>
        <w:jc w:val="both"/>
      </w:pPr>
      <w:r>
        <w:lastRenderedPageBreak/>
        <w:t xml:space="preserve">Ako stalni sudski tumač izgubi službenu iskaznicu ili na drugi način ostane bez nje, dužan je o tome odmah obavijestiti predsjednika nadležnog županijskog suda radi pokretanja postupka za brisanje nestale službene iskaznice iz evidencije i izdavanja nove. </w:t>
      </w:r>
    </w:p>
    <w:p w:rsidR="004B6F5E" w:rsidRDefault="004B6F5E" w:rsidP="004B6F5E"/>
    <w:p w:rsidR="004B6F5E" w:rsidRDefault="004B6F5E" w:rsidP="004B6F5E">
      <w:pPr>
        <w:ind w:firstLine="720"/>
        <w:jc w:val="both"/>
      </w:pPr>
      <w:r>
        <w:t>Stalni sudski tumač koji je izgubio službenu iskaznicu ili je na drugi način ostao bez nje dužan je istu oglasiti nevažećom u „Narodnim novinama“ i podnijeti zahtjev za izdavanje nove iskaznice.</w:t>
      </w:r>
    </w:p>
    <w:p w:rsidR="004B6F5E" w:rsidRDefault="004B6F5E" w:rsidP="004B6F5E"/>
    <w:p w:rsidR="004B6F5E" w:rsidRDefault="004B6F5E" w:rsidP="004B6F5E">
      <w:pPr>
        <w:ind w:firstLine="720"/>
        <w:jc w:val="both"/>
      </w:pPr>
      <w:r>
        <w:t>Nova službena iskaznica pod drugim rednim brojem izdat će se stalnom sudskom tumaču tek nakon što izgubljena ili na drugi način nestala službena iskaznica bude oglašena nevažećom.</w:t>
      </w:r>
    </w:p>
    <w:p w:rsidR="004B6F5E" w:rsidRDefault="004B6F5E" w:rsidP="004B6F5E">
      <w:pPr>
        <w:ind w:firstLine="720"/>
      </w:pPr>
    </w:p>
    <w:p w:rsidR="004B6F5E" w:rsidRDefault="004B6F5E" w:rsidP="004B6F5E">
      <w:pPr>
        <w:jc w:val="center"/>
        <w:rPr>
          <w:color w:val="000000"/>
        </w:rPr>
      </w:pPr>
      <w:r>
        <w:rPr>
          <w:color w:val="000000"/>
        </w:rPr>
        <w:t>POPISI STALNIH SUDSKIH TUMAČA</w:t>
      </w:r>
    </w:p>
    <w:p w:rsidR="004B6F5E" w:rsidRDefault="004B6F5E" w:rsidP="004B6F5E">
      <w:pPr>
        <w:jc w:val="center"/>
        <w:rPr>
          <w:color w:val="000000"/>
        </w:rPr>
      </w:pPr>
    </w:p>
    <w:p w:rsidR="004B6F5E" w:rsidRDefault="004B6F5E" w:rsidP="004B6F5E">
      <w:pPr>
        <w:jc w:val="center"/>
        <w:rPr>
          <w:color w:val="000000"/>
        </w:rPr>
      </w:pPr>
      <w:r>
        <w:rPr>
          <w:color w:val="000000"/>
        </w:rPr>
        <w:t>Članak 38.</w:t>
      </w:r>
    </w:p>
    <w:p w:rsidR="004B6F5E" w:rsidRDefault="004B6F5E" w:rsidP="004B6F5E">
      <w:pPr>
        <w:jc w:val="center"/>
        <w:rPr>
          <w:color w:val="000000"/>
        </w:rPr>
      </w:pPr>
    </w:p>
    <w:p w:rsidR="004B6F5E" w:rsidRDefault="004B6F5E" w:rsidP="004B6F5E">
      <w:pPr>
        <w:ind w:firstLine="720"/>
        <w:jc w:val="both"/>
        <w:rPr>
          <w:color w:val="000000"/>
        </w:rPr>
      </w:pPr>
      <w:r>
        <w:rPr>
          <w:color w:val="000000"/>
        </w:rPr>
        <w:t>Županijski sudovi imenovane stalne sudske tumače unose u Popis stalnih sudskih tumača prema obrascu broj 3 koji je sastavni dio ovog Pravilnika.</w:t>
      </w:r>
    </w:p>
    <w:p w:rsidR="004B6F5E" w:rsidRDefault="004B6F5E" w:rsidP="004B6F5E">
      <w:pPr>
        <w:ind w:firstLine="720"/>
        <w:rPr>
          <w:color w:val="000000"/>
        </w:rPr>
      </w:pPr>
    </w:p>
    <w:p w:rsidR="004B6F5E" w:rsidRDefault="004B6F5E" w:rsidP="004B6F5E">
      <w:pPr>
        <w:ind w:firstLine="720"/>
        <w:jc w:val="both"/>
        <w:rPr>
          <w:color w:val="000000"/>
        </w:rPr>
      </w:pPr>
      <w:r>
        <w:rPr>
          <w:color w:val="000000"/>
        </w:rPr>
        <w:t xml:space="preserve">Županijski sudovi pravne osobe iz članka 4. ovog Pravilnika upisuju u Popis pravnih osoba za obavljanje poslova </w:t>
      </w:r>
      <w:r>
        <w:t>sudskog tumačenja</w:t>
      </w:r>
      <w:r>
        <w:rPr>
          <w:color w:val="000000"/>
        </w:rPr>
        <w:t xml:space="preserve"> prema obrascu broj 4 koji je sastavni dio ovog Pravilnika.</w:t>
      </w:r>
    </w:p>
    <w:p w:rsidR="004B6F5E" w:rsidRDefault="004B6F5E" w:rsidP="004B6F5E">
      <w:pPr>
        <w:ind w:firstLine="720"/>
        <w:rPr>
          <w:color w:val="000000"/>
        </w:rPr>
      </w:pPr>
    </w:p>
    <w:p w:rsidR="004B6F5E" w:rsidRDefault="004B6F5E" w:rsidP="004B6F5E">
      <w:pPr>
        <w:ind w:firstLine="720"/>
        <w:jc w:val="both"/>
        <w:rPr>
          <w:color w:val="000000"/>
        </w:rPr>
      </w:pPr>
      <w:r>
        <w:rPr>
          <w:color w:val="000000"/>
        </w:rPr>
        <w:t>Ako stalni sudski tumač umre ili ne bude ponovno imenovan, briše se iz popisa iz stavka 1. i 2. ovog članka, o čemu se obavještavaju svi sudovi na području nadležnosti županijskog suda i Ministarstvo pravosuđa.</w:t>
      </w:r>
    </w:p>
    <w:p w:rsidR="004B6F5E" w:rsidRDefault="004B6F5E" w:rsidP="004B6F5E">
      <w:pPr>
        <w:jc w:val="center"/>
        <w:rPr>
          <w:color w:val="000000"/>
        </w:rPr>
      </w:pPr>
    </w:p>
    <w:p w:rsidR="004B6F5E" w:rsidRDefault="004B6F5E" w:rsidP="004B6F5E">
      <w:pPr>
        <w:jc w:val="center"/>
        <w:rPr>
          <w:color w:val="000000"/>
        </w:rPr>
      </w:pPr>
      <w:r>
        <w:rPr>
          <w:color w:val="000000"/>
        </w:rPr>
        <w:t>Članak 39.</w:t>
      </w:r>
    </w:p>
    <w:p w:rsidR="004B6F5E" w:rsidRDefault="004B6F5E" w:rsidP="004B6F5E"/>
    <w:p w:rsidR="004B6F5E" w:rsidRDefault="004B6F5E" w:rsidP="004B6F5E">
      <w:pPr>
        <w:ind w:firstLine="720"/>
        <w:jc w:val="both"/>
      </w:pPr>
      <w:r>
        <w:t>Županijski i općinski sudovi objavit će na svojoj oglasnoj ploči i internetskoj stranici obavijest o mogućnosti uvida stranaka u Popis stalnih sudskih tumača i u Popis pravnih osoba za obavljanje poslova sudskog tumačenja.</w:t>
      </w:r>
    </w:p>
    <w:p w:rsidR="004B6F5E" w:rsidRDefault="004B6F5E" w:rsidP="004B6F5E"/>
    <w:p w:rsidR="004B6F5E" w:rsidRDefault="004B6F5E" w:rsidP="004B6F5E">
      <w:pPr>
        <w:ind w:firstLine="720"/>
        <w:jc w:val="both"/>
      </w:pPr>
      <w:r>
        <w:t>Uvid u popise iz stavka 1. ovog članka obavlja se u uredu predsjednika suda.</w:t>
      </w:r>
    </w:p>
    <w:p w:rsidR="004B6F5E" w:rsidRDefault="004B6F5E" w:rsidP="004B6F5E">
      <w:pPr>
        <w:ind w:firstLine="720"/>
      </w:pPr>
    </w:p>
    <w:p w:rsidR="004B6F5E" w:rsidRDefault="004B6F5E" w:rsidP="004B6F5E">
      <w:pPr>
        <w:jc w:val="center"/>
        <w:rPr>
          <w:color w:val="000000"/>
        </w:rPr>
      </w:pPr>
      <w:r>
        <w:rPr>
          <w:color w:val="000000"/>
        </w:rPr>
        <w:t>Članak 40.</w:t>
      </w:r>
    </w:p>
    <w:p w:rsidR="004B6F5E" w:rsidRDefault="004B6F5E" w:rsidP="004B6F5E">
      <w:pPr>
        <w:jc w:val="center"/>
        <w:rPr>
          <w:color w:val="000000"/>
        </w:rPr>
      </w:pPr>
    </w:p>
    <w:p w:rsidR="004B6F5E" w:rsidRDefault="004B6F5E" w:rsidP="004B6F5E">
      <w:pPr>
        <w:ind w:firstLine="720"/>
        <w:jc w:val="both"/>
      </w:pPr>
      <w:r>
        <w:t>Ministarstvo pravosuđa vodi jedinstveni elektronički popis stalnih sudskih tumača po pojedinim jezicima i pravnih osoba za obavljanje poslova sudskog tumačenja za područje cijele Republike Hrvatske.</w:t>
      </w:r>
    </w:p>
    <w:p w:rsidR="004B6F5E" w:rsidRDefault="004B6F5E" w:rsidP="004B6F5E"/>
    <w:p w:rsidR="004B6F5E" w:rsidRDefault="004B6F5E" w:rsidP="004B6F5E">
      <w:pPr>
        <w:ind w:firstLine="720"/>
        <w:jc w:val="both"/>
      </w:pPr>
      <w:r>
        <w:t xml:space="preserve">Ministarstvo pravosuđa će po službenoj dužnosti iz popisa iz stavka 1. ovog članka brisati one stalne sudske tumače koji nisu ponovno imenovani, koji su razriješeni ili umrli te pravne osobe koje su prestale s radom ili koje su prestale obavljati poslove prevođenja. </w:t>
      </w:r>
    </w:p>
    <w:p w:rsidR="004B6F5E" w:rsidRDefault="004B6F5E" w:rsidP="004B6F5E"/>
    <w:p w:rsidR="004B6F5E" w:rsidRDefault="004B6F5E" w:rsidP="004B6F5E">
      <w:pPr>
        <w:ind w:firstLine="720"/>
        <w:jc w:val="both"/>
      </w:pPr>
      <w:r>
        <w:t>Ministarstvo pravosuđa jedinstveni elektronički popis iz stavka 1. ovog članka objavljuje na svojoj internetskoj stranici.</w:t>
      </w:r>
    </w:p>
    <w:p w:rsidR="004B6F5E" w:rsidRDefault="004B6F5E" w:rsidP="004B6F5E">
      <w:pPr>
        <w:jc w:val="center"/>
        <w:rPr>
          <w:color w:val="000000"/>
        </w:rPr>
      </w:pPr>
    </w:p>
    <w:p w:rsidR="004B6F5E" w:rsidRDefault="004B6F5E" w:rsidP="004B6F5E">
      <w:pPr>
        <w:jc w:val="center"/>
        <w:rPr>
          <w:color w:val="000000"/>
        </w:rPr>
      </w:pPr>
      <w:r>
        <w:rPr>
          <w:color w:val="000000"/>
        </w:rPr>
        <w:t>Članak 41.</w:t>
      </w:r>
    </w:p>
    <w:p w:rsidR="004B6F5E" w:rsidRDefault="004B6F5E" w:rsidP="004B6F5E">
      <w:pPr>
        <w:jc w:val="center"/>
        <w:rPr>
          <w:color w:val="000000"/>
        </w:rPr>
      </w:pPr>
    </w:p>
    <w:p w:rsidR="004B6F5E" w:rsidRDefault="004B6F5E" w:rsidP="004B6F5E">
      <w:pPr>
        <w:ind w:firstLine="720"/>
        <w:jc w:val="both"/>
        <w:rPr>
          <w:color w:val="000000"/>
        </w:rPr>
      </w:pPr>
      <w:r>
        <w:rPr>
          <w:color w:val="000000"/>
        </w:rPr>
        <w:lastRenderedPageBreak/>
        <w:t>Stalni sudski tumač dužan je nadležnom županijskom sudu javiti svaku promjenu svojih osobnih podataka.</w:t>
      </w:r>
    </w:p>
    <w:p w:rsidR="004B6F5E" w:rsidRDefault="004B6F5E" w:rsidP="004B6F5E"/>
    <w:p w:rsidR="004B6F5E" w:rsidRDefault="004B6F5E" w:rsidP="004B6F5E">
      <w:pPr>
        <w:ind w:firstLine="720"/>
        <w:jc w:val="both"/>
      </w:pPr>
      <w:r>
        <w:t>Predsjednici županijskih sudova dužni su Ministarstvu pravosuđa u roku od 15 dana od dana donošenja dostaviti primjerak rješenja o imenovanju, ponovnom imenovanju i razrješenju stalnih sudskih tumača te Ministarstvo obavijestiti o svakoj promjeni njihovih podataka.</w:t>
      </w:r>
    </w:p>
    <w:p w:rsidR="004B6F5E" w:rsidRDefault="004B6F5E" w:rsidP="004B6F5E">
      <w:pPr>
        <w:ind w:firstLine="720"/>
      </w:pPr>
    </w:p>
    <w:p w:rsidR="004B6F5E" w:rsidRDefault="004B6F5E" w:rsidP="004B6F5E">
      <w:pPr>
        <w:jc w:val="center"/>
      </w:pPr>
      <w:r>
        <w:t>Članak 42.</w:t>
      </w:r>
    </w:p>
    <w:p w:rsidR="004B6F5E" w:rsidRDefault="004B6F5E" w:rsidP="004B6F5E">
      <w:pPr>
        <w:jc w:val="center"/>
      </w:pPr>
    </w:p>
    <w:p w:rsidR="004B6F5E" w:rsidRDefault="004B6F5E" w:rsidP="004B6F5E">
      <w:pPr>
        <w:ind w:firstLine="720"/>
        <w:jc w:val="both"/>
      </w:pPr>
      <w:r>
        <w:t>Državljani država članica Europske unije ili država potpisnica Sporazuma o Europskom gospodarskom prostoru koji su u svojoj matičnoj državi imenovani za stalnog sudskog tumača upisuju se u Popis stalnih sudskih tumača iz država članica Europske unije ili država potpisnica Sporazuma o Europskom gospodarskom prostoru koji vodi Ministarstvo pravosuđa (obrazac broj 5).</w:t>
      </w:r>
    </w:p>
    <w:p w:rsidR="004B6F5E" w:rsidRDefault="004B6F5E" w:rsidP="004B6F5E">
      <w:pPr>
        <w:ind w:firstLine="720"/>
      </w:pPr>
    </w:p>
    <w:p w:rsidR="004B6F5E" w:rsidRDefault="004B6F5E" w:rsidP="004B6F5E">
      <w:pPr>
        <w:ind w:firstLine="720"/>
        <w:jc w:val="both"/>
      </w:pPr>
      <w:r>
        <w:t xml:space="preserve">Zahtjev za upis podnosi se Ministarstvu pravosuđa. Uz zahtjev se u izvorniku ili ovjerenoj preslici te ovjerenom prijevodu na hrvatski jezik prilaže odluka o imenovanju za stalnog sudskog tumača, dokaz o državljanstvu i dokaz o znanju hrvatskog jezika razine C2 prema </w:t>
      </w:r>
      <w:r>
        <w:rPr>
          <w:color w:val="000000"/>
        </w:rPr>
        <w:t>Zajedničkom europskom referentnom okviru za jezike</w:t>
      </w:r>
      <w:r>
        <w:t>.</w:t>
      </w:r>
    </w:p>
    <w:p w:rsidR="004B6F5E" w:rsidRDefault="004B6F5E" w:rsidP="004B6F5E"/>
    <w:p w:rsidR="004B6F5E" w:rsidRDefault="004B6F5E" w:rsidP="004B6F5E">
      <w:pPr>
        <w:ind w:firstLine="720"/>
      </w:pPr>
      <w:r>
        <w:t>Ministarstvo pravosuđa o zahtjevu donosi rješenje protiv kojeg je dopušteno pokrenuti upravni spor.</w:t>
      </w:r>
    </w:p>
    <w:p w:rsidR="004B6F5E" w:rsidRDefault="004B6F5E" w:rsidP="004B6F5E"/>
    <w:p w:rsidR="004B6F5E" w:rsidRDefault="004B6F5E" w:rsidP="004B6F5E">
      <w:pPr>
        <w:ind w:firstLine="720"/>
        <w:jc w:val="both"/>
      </w:pPr>
      <w:r>
        <w:t>Ako je odlukom o imenovanju u matičnoj državi stalni sudski tumač imenovan na određeno vrijeme, Ministarstvo pravosuđa će po službenoj dužnosti izvršiti brisanje upisanog stalnog sudskog tumača iz Popisa iz stavka 1. ovog članka po isteku vremena na koje je imenovan, osim ako prije isteka tog vremena Ministarstvu pravosuđa ne bude dostavljena odluka o ponovnom imenovanju koju je donijelo nadležno tijelo u matičnoj državi stalnog sudskog tumača.</w:t>
      </w:r>
    </w:p>
    <w:p w:rsidR="004B6F5E" w:rsidRDefault="004B6F5E" w:rsidP="004B6F5E"/>
    <w:p w:rsidR="004B6F5E" w:rsidRDefault="004B6F5E" w:rsidP="004B6F5E">
      <w:pPr>
        <w:ind w:firstLine="720"/>
        <w:jc w:val="both"/>
      </w:pPr>
      <w:r>
        <w:t xml:space="preserve">Stalni sudski tumači iz stavka 1. ovog članka koji su upisani u Popis stalnih sudskih tumača dužni su bez odgode obavijestiti Ministarstvo pravosuđa o svakoj promjeni upisanih podataka. </w:t>
      </w:r>
    </w:p>
    <w:p w:rsidR="004B6F5E" w:rsidRDefault="004B6F5E" w:rsidP="004B6F5E">
      <w:pPr>
        <w:jc w:val="center"/>
      </w:pPr>
    </w:p>
    <w:p w:rsidR="004B6F5E" w:rsidRDefault="004B6F5E" w:rsidP="004B6F5E">
      <w:pPr>
        <w:jc w:val="center"/>
      </w:pPr>
      <w:r>
        <w:t>Članak 43.</w:t>
      </w:r>
    </w:p>
    <w:p w:rsidR="004B6F5E" w:rsidRDefault="004B6F5E" w:rsidP="004B6F5E">
      <w:pPr>
        <w:jc w:val="center"/>
      </w:pPr>
    </w:p>
    <w:p w:rsidR="004B6F5E" w:rsidRDefault="004B6F5E" w:rsidP="004B6F5E">
      <w:pPr>
        <w:ind w:firstLine="720"/>
        <w:jc w:val="both"/>
      </w:pPr>
      <w:r>
        <w:t>Stalni sudski tumači iz članka 42. stavak 1. ovog Pravilnika koji u Republici Hrvatskoj namjeravaju povremeno obavljati poslove stalnih sudskih tumača dužni su prije početka obavljanja tih poslova Ministarstvu pravosuđa podnijeti pisanu izjavu o namjeri obavljanja poslova stalnih sudskih tumača u Republici Hrvatskoj.</w:t>
      </w:r>
    </w:p>
    <w:p w:rsidR="004B6F5E" w:rsidRDefault="004B6F5E" w:rsidP="004B6F5E"/>
    <w:p w:rsidR="004B6F5E" w:rsidRDefault="004B6F5E" w:rsidP="004B6F5E">
      <w:pPr>
        <w:ind w:firstLine="720"/>
      </w:pPr>
      <w:r>
        <w:t>Izjava iz stavka 1. ovog članka podnosi se Ministarstvu pravosuđa  za svaku godinu u kojoj namjerava obavljati poslove stalnog sudskog tumača.</w:t>
      </w:r>
    </w:p>
    <w:p w:rsidR="004B6F5E" w:rsidRDefault="004B6F5E" w:rsidP="004B6F5E">
      <w:pPr>
        <w:ind w:firstLine="720"/>
      </w:pPr>
    </w:p>
    <w:p w:rsidR="004B6F5E" w:rsidRDefault="004B6F5E" w:rsidP="004B6F5E">
      <w:pPr>
        <w:jc w:val="center"/>
      </w:pPr>
      <w:r>
        <w:t>Članak 44.</w:t>
      </w:r>
    </w:p>
    <w:p w:rsidR="004B6F5E" w:rsidRDefault="004B6F5E" w:rsidP="004B6F5E">
      <w:pPr>
        <w:jc w:val="center"/>
      </w:pPr>
    </w:p>
    <w:p w:rsidR="004B6F5E" w:rsidRDefault="004B6F5E" w:rsidP="004B6F5E">
      <w:pPr>
        <w:ind w:firstLine="720"/>
        <w:jc w:val="both"/>
      </w:pPr>
      <w:r>
        <w:t>Popisi stalnih sudskih tumača i pravnih osoba iz članka 40. i 42. ovog Pravilnika moraju se voditi uredno i na vrijeme.</w:t>
      </w:r>
    </w:p>
    <w:p w:rsidR="004B6F5E" w:rsidRDefault="004B6F5E" w:rsidP="004B6F5E"/>
    <w:p w:rsidR="004B6F5E" w:rsidRDefault="004B6F5E" w:rsidP="004B6F5E">
      <w:pPr>
        <w:jc w:val="center"/>
        <w:rPr>
          <w:color w:val="000000"/>
        </w:rPr>
      </w:pPr>
      <w:r>
        <w:rPr>
          <w:color w:val="000000"/>
        </w:rPr>
        <w:lastRenderedPageBreak/>
        <w:t>ZAVRŠNE ODREDBE</w:t>
      </w:r>
    </w:p>
    <w:p w:rsidR="004B6F5E" w:rsidRDefault="004B6F5E" w:rsidP="004B6F5E">
      <w:pPr>
        <w:jc w:val="center"/>
        <w:rPr>
          <w:color w:val="000000"/>
        </w:rPr>
      </w:pPr>
      <w:r>
        <w:rPr>
          <w:color w:val="000000"/>
        </w:rPr>
        <w:br/>
        <w:t>Članak 45.</w:t>
      </w:r>
    </w:p>
    <w:p w:rsidR="004B6F5E" w:rsidRDefault="004B6F5E" w:rsidP="004B6F5E">
      <w:pPr>
        <w:ind w:firstLine="720"/>
        <w:jc w:val="both"/>
        <w:rPr>
          <w:color w:val="000000"/>
        </w:rPr>
      </w:pPr>
      <w:r>
        <w:rPr>
          <w:color w:val="000000"/>
        </w:rPr>
        <w:br/>
        <w:t>            Odredbe ovog Pravilnika na odgovarajući se način primjenjuju i na tumače koje sud imenuje za pojedini slučaj, kao i na tumače znakova gluhonijemih, gluhih, nijemih ili drugih osoba s kojima se, zbog tjelesnih ili drugih mana, ne može na drugi način sporazumjeti.</w:t>
      </w:r>
    </w:p>
    <w:p w:rsidR="004B6F5E" w:rsidRDefault="004B6F5E" w:rsidP="004B6F5E">
      <w:pPr>
        <w:ind w:firstLine="720"/>
        <w:rPr>
          <w:color w:val="000000"/>
        </w:rPr>
      </w:pPr>
    </w:p>
    <w:p w:rsidR="004B6F5E" w:rsidRDefault="004B6F5E" w:rsidP="004B6F5E">
      <w:pPr>
        <w:jc w:val="center"/>
        <w:rPr>
          <w:color w:val="000000"/>
        </w:rPr>
      </w:pPr>
      <w:r>
        <w:rPr>
          <w:color w:val="000000"/>
        </w:rPr>
        <w:t>Članak 46.</w:t>
      </w:r>
    </w:p>
    <w:p w:rsidR="004B6F5E" w:rsidRDefault="004B6F5E" w:rsidP="004B6F5E">
      <w:pPr>
        <w:jc w:val="center"/>
        <w:rPr>
          <w:color w:val="000000"/>
        </w:rPr>
      </w:pPr>
    </w:p>
    <w:p w:rsidR="004B6F5E" w:rsidRDefault="004B6F5E" w:rsidP="004B6F5E">
      <w:pPr>
        <w:ind w:firstLine="720"/>
        <w:jc w:val="both"/>
        <w:rPr>
          <w:color w:val="000000"/>
        </w:rPr>
      </w:pPr>
      <w:r>
        <w:rPr>
          <w:color w:val="000000"/>
        </w:rPr>
        <w:t xml:space="preserve">Stalnim sudskim tumačima koje su imenovali predsjednici županijskih i trgovačkih sudova prema odredbama Pravilnika o stalnim sudskim tumačima (“Narodne novine”, broj 88/08 i 119/08) svojstvo stalnog sudskog tumača prestaje danom isteka vremena na koje su imenovani, ako prema odredbama ovog Pravilnika ne budu ponovno imenovani za stalne sudske tumače. </w:t>
      </w:r>
    </w:p>
    <w:p w:rsidR="004B6F5E" w:rsidRDefault="004B6F5E" w:rsidP="004B6F5E">
      <w:pPr>
        <w:ind w:firstLine="720"/>
        <w:rPr>
          <w:color w:val="000000"/>
        </w:rPr>
      </w:pPr>
    </w:p>
    <w:p w:rsidR="004B6F5E" w:rsidRDefault="004B6F5E" w:rsidP="004B6F5E">
      <w:pPr>
        <w:jc w:val="center"/>
        <w:rPr>
          <w:color w:val="000000"/>
        </w:rPr>
      </w:pPr>
      <w:r>
        <w:rPr>
          <w:color w:val="000000"/>
        </w:rPr>
        <w:t>Članak 47.</w:t>
      </w:r>
    </w:p>
    <w:p w:rsidR="004B6F5E" w:rsidRDefault="004B6F5E" w:rsidP="004B6F5E">
      <w:pPr>
        <w:jc w:val="center"/>
        <w:rPr>
          <w:color w:val="000000"/>
        </w:rPr>
      </w:pPr>
    </w:p>
    <w:p w:rsidR="004B6F5E" w:rsidRDefault="004B6F5E" w:rsidP="004B6F5E">
      <w:pPr>
        <w:ind w:firstLine="720"/>
        <w:jc w:val="both"/>
        <w:rPr>
          <w:color w:val="000000"/>
        </w:rPr>
      </w:pPr>
      <w:r>
        <w:rPr>
          <w:color w:val="000000"/>
        </w:rPr>
        <w:t>Stupanjem na snagu ovog Pravilnika prestaje važiti Pravilnik o stalnim sudskim tumačima („Narodne novine“ broj 88/08 i 119/08).</w:t>
      </w:r>
    </w:p>
    <w:p w:rsidR="004B6F5E" w:rsidRDefault="004B6F5E" w:rsidP="004B6F5E">
      <w:pPr>
        <w:rPr>
          <w:color w:val="000000"/>
        </w:rPr>
      </w:pPr>
    </w:p>
    <w:p w:rsidR="004B6F5E" w:rsidRDefault="004B6F5E" w:rsidP="004B6F5E">
      <w:pPr>
        <w:jc w:val="center"/>
        <w:rPr>
          <w:color w:val="000000"/>
        </w:rPr>
      </w:pPr>
      <w:r>
        <w:rPr>
          <w:color w:val="000000"/>
        </w:rPr>
        <w:t>Članak 48.</w:t>
      </w:r>
    </w:p>
    <w:p w:rsidR="004B6F5E" w:rsidRDefault="004B6F5E" w:rsidP="004B6F5E">
      <w:pPr>
        <w:ind w:left="720"/>
        <w:jc w:val="both"/>
        <w:rPr>
          <w:color w:val="000000"/>
        </w:rPr>
      </w:pPr>
      <w:r>
        <w:rPr>
          <w:color w:val="000000"/>
        </w:rPr>
        <w:br/>
        <w:t>Ovaj Pravilnik stupa na snagu osmog dana od dana objave u „Narodnim novinama“.</w:t>
      </w:r>
    </w:p>
    <w:p w:rsidR="004B6F5E" w:rsidRDefault="004B6F5E" w:rsidP="004B6F5E">
      <w:pPr>
        <w:spacing w:after="240"/>
      </w:pPr>
    </w:p>
    <w:p w:rsidR="004B6F5E" w:rsidRDefault="004B6F5E" w:rsidP="004B6F5E"/>
    <w:p w:rsidR="004B6F5E" w:rsidRDefault="004B6F5E" w:rsidP="004B6F5E">
      <w:pPr>
        <w:rPr>
          <w:b/>
          <w:bCs/>
        </w:rPr>
      </w:pPr>
      <w:r>
        <w:t xml:space="preserve">KLASA:          011-01/14-01/37                                                       </w:t>
      </w:r>
      <w:r>
        <w:rPr>
          <w:b/>
          <w:bCs/>
        </w:rPr>
        <w:t>M I N I S T A R</w:t>
      </w:r>
    </w:p>
    <w:p w:rsidR="004B6F5E" w:rsidRDefault="004B6F5E" w:rsidP="004B6F5E">
      <w:proofErr w:type="spellStart"/>
      <w:r>
        <w:t>URBROJ</w:t>
      </w:r>
      <w:proofErr w:type="spellEnd"/>
      <w:r>
        <w:t>:        514-03-01-02-</w:t>
      </w:r>
      <w:proofErr w:type="spellStart"/>
      <w:r>
        <w:t>02</w:t>
      </w:r>
      <w:proofErr w:type="spellEnd"/>
      <w:r>
        <w:t>-14-01</w:t>
      </w:r>
    </w:p>
    <w:p w:rsidR="004B6F5E" w:rsidRDefault="004B6F5E" w:rsidP="004B6F5E">
      <w:pPr>
        <w:rPr>
          <w:b/>
          <w:bCs/>
        </w:rPr>
      </w:pPr>
      <w:r>
        <w:t xml:space="preserve">                                                                                                          </w:t>
      </w:r>
      <w:r>
        <w:rPr>
          <w:b/>
          <w:bCs/>
        </w:rPr>
        <w:t xml:space="preserve">Orsat </w:t>
      </w:r>
      <w:proofErr w:type="spellStart"/>
      <w:r>
        <w:rPr>
          <w:b/>
          <w:bCs/>
        </w:rPr>
        <w:t>Miljenić</w:t>
      </w:r>
      <w:proofErr w:type="spellEnd"/>
    </w:p>
    <w:p w:rsidR="004B6F5E" w:rsidRDefault="004B6F5E" w:rsidP="004B6F5E">
      <w:r>
        <w:t>Zagreb,            3. travnja 2014.</w:t>
      </w:r>
    </w:p>
    <w:p w:rsidR="004B6F5E" w:rsidRDefault="004B6F5E" w:rsidP="004B6F5E"/>
    <w:p w:rsidR="004B6F5E" w:rsidRDefault="004B6F5E" w:rsidP="004B6F5E"/>
    <w:p w:rsidR="004B6F5E" w:rsidRDefault="004B6F5E" w:rsidP="004B6F5E"/>
    <w:p w:rsidR="004B6F5E" w:rsidRDefault="004B6F5E" w:rsidP="004B6F5E"/>
    <w:p w:rsidR="004B6F5E" w:rsidRDefault="004B6F5E" w:rsidP="004B6F5E"/>
    <w:p w:rsidR="004B6F5E" w:rsidRDefault="004B6F5E" w:rsidP="004B6F5E"/>
    <w:p w:rsidR="004B6F5E" w:rsidRDefault="004B6F5E" w:rsidP="004B6F5E"/>
    <w:p w:rsidR="004B6F5E" w:rsidRDefault="004B6F5E" w:rsidP="004B6F5E"/>
    <w:p w:rsidR="004B6F5E" w:rsidRDefault="004B6F5E" w:rsidP="004B6F5E"/>
    <w:p w:rsidR="004B6F5E" w:rsidRDefault="004B6F5E" w:rsidP="004B6F5E"/>
    <w:p w:rsidR="004B6F5E" w:rsidRDefault="004B6F5E" w:rsidP="004B6F5E"/>
    <w:p w:rsidR="004B6F5E" w:rsidRDefault="004B6F5E" w:rsidP="004B6F5E"/>
    <w:p w:rsidR="004B6F5E" w:rsidRDefault="004B6F5E" w:rsidP="004B6F5E"/>
    <w:p w:rsidR="004B6F5E" w:rsidRDefault="004B6F5E" w:rsidP="004B6F5E"/>
    <w:p w:rsidR="004B6F5E" w:rsidRDefault="004B6F5E" w:rsidP="004B6F5E"/>
    <w:p w:rsidR="004B6F5E" w:rsidRDefault="004B6F5E" w:rsidP="004B6F5E"/>
    <w:p w:rsidR="004B6F5E" w:rsidRDefault="004B6F5E" w:rsidP="004B6F5E"/>
    <w:p w:rsidR="004B6F5E" w:rsidRDefault="004B6F5E" w:rsidP="004B6F5E"/>
    <w:p w:rsidR="004B6F5E" w:rsidRDefault="004B6F5E" w:rsidP="004B6F5E"/>
    <w:p w:rsidR="004B6F5E" w:rsidRDefault="004B6F5E" w:rsidP="004B6F5E"/>
    <w:p w:rsidR="004B6F5E" w:rsidRDefault="004B6F5E" w:rsidP="004B6F5E">
      <w:r>
        <w:t>Obrazac broj 1</w:t>
      </w:r>
    </w:p>
    <w:p w:rsidR="004B6F5E" w:rsidRDefault="004B6F5E" w:rsidP="004B6F5E">
      <w:pPr>
        <w:spacing w:before="100" w:beforeAutospacing="1" w:after="100" w:afterAutospacing="1"/>
        <w:rPr>
          <w:color w:val="000000"/>
          <w:sz w:val="27"/>
          <w:szCs w:val="27"/>
        </w:rPr>
      </w:pPr>
      <w:r>
        <w:rPr>
          <w:color w:val="000000"/>
          <w:sz w:val="27"/>
          <w:szCs w:val="27"/>
        </w:rPr>
        <w:t>JEDNOOBRAZNI IZGLED PISANOG PRIJEVODA STALNOG SUDSKOG TUMAČA</w:t>
      </w:r>
    </w:p>
    <w:p w:rsidR="004B6F5E" w:rsidRDefault="004B6F5E" w:rsidP="004B6F5E">
      <w:pPr>
        <w:spacing w:before="100" w:beforeAutospacing="1" w:after="100" w:afterAutospacing="1" w:line="360" w:lineRule="auto"/>
        <w:rPr>
          <w:color w:val="000000"/>
          <w:sz w:val="27"/>
          <w:szCs w:val="27"/>
        </w:rPr>
      </w:pPr>
      <w:r>
        <w:rPr>
          <w:noProof/>
          <w:color w:val="000000"/>
          <w:sz w:val="27"/>
          <w:szCs w:val="27"/>
        </w:rPr>
        <w:drawing>
          <wp:inline distT="0" distB="0" distL="0" distR="0">
            <wp:extent cx="3329305" cy="1689735"/>
            <wp:effectExtent l="0" t="0" r="4445" b="5715"/>
            <wp:docPr id="3" name="Slika 3" descr="Opis: http://narodne-novine.nn.hr/clanci/sluzbeni/dodatni/3486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http://narodne-novine.nn.hr/clanci/sluzbeni/dodatni/348652.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329305" cy="1689735"/>
                    </a:xfrm>
                    <a:prstGeom prst="rect">
                      <a:avLst/>
                    </a:prstGeom>
                    <a:noFill/>
                    <a:ln>
                      <a:noFill/>
                    </a:ln>
                  </pic:spPr>
                </pic:pic>
              </a:graphicData>
            </a:graphic>
          </wp:inline>
        </w:drawing>
      </w:r>
    </w:p>
    <w:p w:rsidR="004B6F5E" w:rsidRDefault="004B6F5E" w:rsidP="004B6F5E">
      <w:pPr>
        <w:spacing w:before="100" w:beforeAutospacing="1" w:after="100" w:afterAutospacing="1" w:line="360" w:lineRule="auto"/>
        <w:rPr>
          <w:color w:val="000000"/>
          <w:sz w:val="27"/>
          <w:szCs w:val="27"/>
        </w:rPr>
      </w:pPr>
      <w:r>
        <w:rPr>
          <w:noProof/>
          <w:color w:val="000000"/>
          <w:sz w:val="27"/>
          <w:szCs w:val="27"/>
        </w:rPr>
        <w:drawing>
          <wp:inline distT="0" distB="0" distL="0" distR="0">
            <wp:extent cx="3091180" cy="3289935"/>
            <wp:effectExtent l="0" t="0" r="0" b="5715"/>
            <wp:docPr id="2" name="Slika 2" descr="Opis: http://narodne-novine.nn.hr/clanci/sluzbeni/dodatni/348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Opis: http://narodne-novine.nn.hr/clanci/sluzbeni/dodatni/348358.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91180" cy="3289935"/>
                    </a:xfrm>
                    <a:prstGeom prst="rect">
                      <a:avLst/>
                    </a:prstGeom>
                    <a:noFill/>
                    <a:ln>
                      <a:noFill/>
                    </a:ln>
                  </pic:spPr>
                </pic:pic>
              </a:graphicData>
            </a:graphic>
          </wp:inline>
        </w:drawing>
      </w:r>
    </w:p>
    <w:p w:rsidR="004B6F5E" w:rsidRDefault="004B6F5E" w:rsidP="004B6F5E">
      <w:pPr>
        <w:spacing w:before="100" w:beforeAutospacing="1" w:after="100" w:afterAutospacing="1" w:line="360" w:lineRule="auto"/>
        <w:rPr>
          <w:color w:val="000000"/>
          <w:sz w:val="27"/>
          <w:szCs w:val="27"/>
        </w:rPr>
      </w:pPr>
      <w:r>
        <w:rPr>
          <w:noProof/>
          <w:color w:val="000000"/>
          <w:sz w:val="27"/>
          <w:szCs w:val="27"/>
        </w:rPr>
        <w:lastRenderedPageBreak/>
        <w:drawing>
          <wp:inline distT="0" distB="0" distL="0" distR="0">
            <wp:extent cx="3091180" cy="3349625"/>
            <wp:effectExtent l="0" t="0" r="0" b="3175"/>
            <wp:docPr id="1" name="Slika 1" descr="Opis: http://narodne-novine.nn.hr/clanci/sluzbeni/dodatni/3483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http://narodne-novine.nn.hr/clanci/sluzbeni/dodatni/348359.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91180" cy="3349625"/>
                    </a:xfrm>
                    <a:prstGeom prst="rect">
                      <a:avLst/>
                    </a:prstGeom>
                    <a:noFill/>
                    <a:ln>
                      <a:noFill/>
                    </a:ln>
                  </pic:spPr>
                </pic:pic>
              </a:graphicData>
            </a:graphic>
          </wp:inline>
        </w:drawing>
      </w:r>
    </w:p>
    <w:p w:rsidR="004B6F5E" w:rsidRDefault="004B6F5E" w:rsidP="004B6F5E">
      <w:pPr>
        <w:rPr>
          <w:color w:val="000000"/>
          <w:sz w:val="27"/>
          <w:szCs w:val="27"/>
        </w:rPr>
      </w:pPr>
      <w:r>
        <w:rPr>
          <w:rFonts w:eastAsia="Times New Roman"/>
          <w:color w:val="000000"/>
          <w:sz w:val="27"/>
          <w:szCs w:val="27"/>
        </w:rPr>
        <w:br w:type="page"/>
      </w:r>
    </w:p>
    <w:p w:rsidR="004B6F5E" w:rsidRDefault="004B6F5E" w:rsidP="004B6F5E">
      <w:pPr>
        <w:rPr>
          <w:color w:val="000000"/>
          <w:sz w:val="27"/>
          <w:szCs w:val="27"/>
        </w:rPr>
      </w:pPr>
      <w:r>
        <w:rPr>
          <w:color w:val="000000"/>
          <w:sz w:val="27"/>
          <w:szCs w:val="27"/>
        </w:rPr>
        <w:lastRenderedPageBreak/>
        <w:t xml:space="preserve">Obrazac broj 2 </w:t>
      </w:r>
      <w:r>
        <w:rPr>
          <w:sz w:val="27"/>
          <w:szCs w:val="27"/>
        </w:rPr>
        <w:t xml:space="preserve">(8,5 x </w:t>
      </w:r>
      <w:smartTag w:uri="urn:schemas-microsoft-com:office:smarttags" w:element="metricconverter">
        <w:smartTagPr>
          <w:attr w:name="ProductID" w:val="5,5 mm"/>
        </w:smartTagPr>
        <w:r>
          <w:rPr>
            <w:sz w:val="27"/>
            <w:szCs w:val="27"/>
          </w:rPr>
          <w:t>5,</w:t>
        </w:r>
        <w:proofErr w:type="spellStart"/>
        <w:r>
          <w:rPr>
            <w:sz w:val="27"/>
            <w:szCs w:val="27"/>
          </w:rPr>
          <w:t>5</w:t>
        </w:r>
        <w:proofErr w:type="spellEnd"/>
        <w:r>
          <w:rPr>
            <w:sz w:val="27"/>
            <w:szCs w:val="27"/>
          </w:rPr>
          <w:t xml:space="preserve"> mm</w:t>
        </w:r>
      </w:smartTag>
      <w:r>
        <w:rPr>
          <w:sz w:val="27"/>
          <w:szCs w:val="27"/>
        </w:rPr>
        <w:t>) – službena iskaznica</w:t>
      </w:r>
    </w:p>
    <w:p w:rsidR="004B6F5E" w:rsidRDefault="004B6F5E" w:rsidP="004B6F5E"/>
    <w:p w:rsidR="004B6F5E" w:rsidRDefault="004B6F5E" w:rsidP="004B6F5E">
      <w:r>
        <w:t>1. stranica</w:t>
      </w:r>
    </w:p>
    <w:tbl>
      <w:tblPr>
        <w:tblW w:w="0" w:type="auto"/>
        <w:tblInd w:w="108" w:type="dxa"/>
        <w:tblCellMar>
          <w:left w:w="0" w:type="dxa"/>
          <w:right w:w="0" w:type="dxa"/>
        </w:tblCellMar>
        <w:tblLook w:val="04A0" w:firstRow="1" w:lastRow="0" w:firstColumn="1" w:lastColumn="0" w:noHBand="0" w:noVBand="1"/>
      </w:tblPr>
      <w:tblGrid>
        <w:gridCol w:w="6300"/>
      </w:tblGrid>
      <w:tr w:rsidR="004B6F5E" w:rsidTr="004B6F5E">
        <w:trPr>
          <w:trHeight w:val="3672"/>
        </w:trPr>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B6F5E" w:rsidRDefault="004B6F5E">
            <w:pPr>
              <w:ind w:left="180"/>
            </w:pPr>
          </w:p>
          <w:tbl>
            <w:tblPr>
              <w:tblpPr w:leftFromText="180" w:rightFromText="180" w:vertAnchor="text"/>
              <w:tblW w:w="0" w:type="auto"/>
              <w:tblCellMar>
                <w:left w:w="0" w:type="dxa"/>
                <w:right w:w="0" w:type="dxa"/>
              </w:tblCellMar>
              <w:tblLook w:val="04A0" w:firstRow="1" w:lastRow="0" w:firstColumn="1" w:lastColumn="0" w:noHBand="0" w:noVBand="1"/>
            </w:tblPr>
            <w:tblGrid>
              <w:gridCol w:w="1615"/>
            </w:tblGrid>
            <w:tr w:rsidR="004B6F5E">
              <w:trPr>
                <w:trHeight w:val="1964"/>
              </w:trPr>
              <w:tc>
                <w:tcPr>
                  <w:tcW w:w="16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B6F5E" w:rsidRDefault="004B6F5E">
                  <w:pPr>
                    <w:rPr>
                      <w:snapToGrid w:val="0"/>
                      <w:sz w:val="20"/>
                      <w:szCs w:val="20"/>
                    </w:rPr>
                  </w:pPr>
                </w:p>
                <w:p w:rsidR="004B6F5E" w:rsidRDefault="004B6F5E">
                  <w:pPr>
                    <w:jc w:val="center"/>
                    <w:rPr>
                      <w:snapToGrid w:val="0"/>
                      <w:sz w:val="20"/>
                      <w:szCs w:val="20"/>
                    </w:rPr>
                  </w:pPr>
                  <w:r>
                    <w:rPr>
                      <w:snapToGrid w:val="0"/>
                      <w:sz w:val="20"/>
                      <w:szCs w:val="20"/>
                    </w:rPr>
                    <w:t>Fotografija</w:t>
                  </w:r>
                </w:p>
                <w:p w:rsidR="004B6F5E" w:rsidRDefault="004B6F5E">
                  <w:pPr>
                    <w:jc w:val="center"/>
                    <w:rPr>
                      <w:snapToGrid w:val="0"/>
                      <w:sz w:val="20"/>
                      <w:szCs w:val="20"/>
                    </w:rPr>
                  </w:pPr>
                  <w:r>
                    <w:rPr>
                      <w:snapToGrid w:val="0"/>
                      <w:sz w:val="20"/>
                      <w:szCs w:val="20"/>
                    </w:rPr>
                    <w:t>28x32 mm</w:t>
                  </w:r>
                </w:p>
              </w:tc>
            </w:tr>
          </w:tbl>
          <w:p w:rsidR="004B6F5E" w:rsidRDefault="004B6F5E">
            <w:pPr>
              <w:rPr>
                <w:b/>
                <w:bCs/>
                <w:snapToGrid w:val="0"/>
                <w:sz w:val="20"/>
                <w:szCs w:val="20"/>
              </w:rPr>
            </w:pPr>
            <w:r>
              <w:rPr>
                <w:b/>
                <w:bCs/>
                <w:snapToGrid w:val="0"/>
                <w:sz w:val="20"/>
                <w:szCs w:val="20"/>
              </w:rPr>
              <w:t> ŽUPANIJSKI SUD</w:t>
            </w:r>
          </w:p>
          <w:p w:rsidR="004B6F5E" w:rsidRDefault="004B6F5E">
            <w:pPr>
              <w:rPr>
                <w:i/>
                <w:iCs/>
                <w:snapToGrid w:val="0"/>
                <w:sz w:val="20"/>
                <w:szCs w:val="20"/>
              </w:rPr>
            </w:pPr>
            <w:r>
              <w:rPr>
                <w:snapToGrid w:val="0"/>
                <w:sz w:val="20"/>
                <w:szCs w:val="20"/>
              </w:rPr>
              <w:t>    (</w:t>
            </w:r>
            <w:r>
              <w:rPr>
                <w:i/>
                <w:iCs/>
                <w:snapToGrid w:val="0"/>
                <w:sz w:val="20"/>
                <w:szCs w:val="20"/>
              </w:rPr>
              <w:t>naziv suda)</w:t>
            </w:r>
          </w:p>
          <w:p w:rsidR="004B6F5E" w:rsidRDefault="004B6F5E">
            <w:pPr>
              <w:rPr>
                <w:snapToGrid w:val="0"/>
                <w:sz w:val="20"/>
                <w:szCs w:val="20"/>
              </w:rPr>
            </w:pPr>
          </w:p>
          <w:p w:rsidR="004B6F5E" w:rsidRDefault="004B6F5E">
            <w:pPr>
              <w:rPr>
                <w:snapToGrid w:val="0"/>
                <w:sz w:val="20"/>
                <w:szCs w:val="20"/>
              </w:rPr>
            </w:pPr>
          </w:p>
          <w:p w:rsidR="004B6F5E" w:rsidRDefault="004B6F5E">
            <w:pPr>
              <w:rPr>
                <w:b/>
                <w:bCs/>
                <w:sz w:val="20"/>
                <w:szCs w:val="20"/>
              </w:rPr>
            </w:pPr>
            <w:r>
              <w:rPr>
                <w:b/>
                <w:bCs/>
                <w:sz w:val="20"/>
                <w:szCs w:val="20"/>
              </w:rPr>
              <w:t>                 SLUŽBENA ISKAZNICA</w:t>
            </w:r>
          </w:p>
          <w:p w:rsidR="004B6F5E" w:rsidRDefault="004B6F5E">
            <w:pPr>
              <w:rPr>
                <w:b/>
                <w:bCs/>
                <w:sz w:val="20"/>
                <w:szCs w:val="20"/>
              </w:rPr>
            </w:pPr>
            <w:r>
              <w:rPr>
                <w:b/>
                <w:bCs/>
                <w:sz w:val="20"/>
                <w:szCs w:val="20"/>
              </w:rPr>
              <w:t>                STALNOG SUDSKOG TUMAČA</w:t>
            </w:r>
          </w:p>
          <w:p w:rsidR="004B6F5E" w:rsidRDefault="004B6F5E">
            <w:pPr>
              <w:rPr>
                <w:b/>
                <w:bCs/>
                <w:sz w:val="20"/>
                <w:szCs w:val="20"/>
              </w:rPr>
            </w:pPr>
          </w:p>
          <w:p w:rsidR="004B6F5E" w:rsidRDefault="004B6F5E">
            <w:pPr>
              <w:rPr>
                <w:b/>
                <w:bCs/>
                <w:sz w:val="20"/>
                <w:szCs w:val="20"/>
              </w:rPr>
            </w:pPr>
            <w:r>
              <w:rPr>
                <w:b/>
                <w:bCs/>
                <w:sz w:val="20"/>
                <w:szCs w:val="20"/>
              </w:rPr>
              <w:t xml:space="preserve">  </w:t>
            </w:r>
          </w:p>
          <w:p w:rsidR="004B6F5E" w:rsidRDefault="004B6F5E">
            <w:pPr>
              <w:rPr>
                <w:b/>
                <w:bCs/>
                <w:sz w:val="20"/>
                <w:szCs w:val="20"/>
              </w:rPr>
            </w:pPr>
          </w:p>
          <w:p w:rsidR="004B6F5E" w:rsidRDefault="004B6F5E">
            <w:pPr>
              <w:rPr>
                <w:b/>
                <w:bCs/>
                <w:sz w:val="20"/>
                <w:szCs w:val="20"/>
              </w:rPr>
            </w:pPr>
            <w:r>
              <w:rPr>
                <w:b/>
                <w:bCs/>
                <w:sz w:val="20"/>
                <w:szCs w:val="20"/>
              </w:rPr>
              <w:t xml:space="preserve">  IME:                                                                                    red. br.  </w:t>
            </w:r>
          </w:p>
          <w:p w:rsidR="004B6F5E" w:rsidRDefault="004B6F5E">
            <w:pPr>
              <w:rPr>
                <w:b/>
                <w:bCs/>
                <w:sz w:val="20"/>
                <w:szCs w:val="20"/>
              </w:rPr>
            </w:pPr>
            <w:r>
              <w:rPr>
                <w:b/>
                <w:bCs/>
                <w:sz w:val="20"/>
                <w:szCs w:val="20"/>
              </w:rPr>
              <w:t>  PREZIME:</w:t>
            </w:r>
          </w:p>
          <w:p w:rsidR="004B6F5E" w:rsidRDefault="004B6F5E">
            <w:r>
              <w:rPr>
                <w:b/>
                <w:bCs/>
                <w:sz w:val="20"/>
                <w:szCs w:val="20"/>
              </w:rPr>
              <w:t xml:space="preserve">  </w:t>
            </w:r>
            <w:proofErr w:type="spellStart"/>
            <w:r>
              <w:rPr>
                <w:b/>
                <w:bCs/>
                <w:sz w:val="20"/>
                <w:szCs w:val="20"/>
              </w:rPr>
              <w:t>OIB</w:t>
            </w:r>
            <w:proofErr w:type="spellEnd"/>
            <w:r>
              <w:rPr>
                <w:b/>
                <w:bCs/>
                <w:sz w:val="20"/>
                <w:szCs w:val="20"/>
              </w:rPr>
              <w:t>:</w:t>
            </w:r>
          </w:p>
        </w:tc>
      </w:tr>
    </w:tbl>
    <w:p w:rsidR="004B6F5E" w:rsidRDefault="004B6F5E" w:rsidP="004B6F5E"/>
    <w:p w:rsidR="004B6F5E" w:rsidRDefault="004B6F5E" w:rsidP="004B6F5E">
      <w:r>
        <w:t>2. stranica</w:t>
      </w:r>
    </w:p>
    <w:p w:rsidR="004B6F5E" w:rsidRDefault="004B6F5E" w:rsidP="004B6F5E"/>
    <w:tbl>
      <w:tblPr>
        <w:tblW w:w="0" w:type="auto"/>
        <w:tblInd w:w="108" w:type="dxa"/>
        <w:tblCellMar>
          <w:left w:w="0" w:type="dxa"/>
          <w:right w:w="0" w:type="dxa"/>
        </w:tblCellMar>
        <w:tblLook w:val="04A0" w:firstRow="1" w:lastRow="0" w:firstColumn="1" w:lastColumn="0" w:noHBand="0" w:noVBand="1"/>
      </w:tblPr>
      <w:tblGrid>
        <w:gridCol w:w="6300"/>
      </w:tblGrid>
      <w:tr w:rsidR="004B6F5E" w:rsidTr="004B6F5E">
        <w:trPr>
          <w:trHeight w:val="3713"/>
        </w:trPr>
        <w:tc>
          <w:tcPr>
            <w:tcW w:w="6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B6F5E" w:rsidRDefault="004B6F5E">
            <w:pPr>
              <w:rPr>
                <w:sz w:val="20"/>
                <w:szCs w:val="20"/>
              </w:rPr>
            </w:pPr>
          </w:p>
          <w:p w:rsidR="004B6F5E" w:rsidRDefault="004B6F5E">
            <w:pPr>
              <w:ind w:left="322"/>
              <w:rPr>
                <w:sz w:val="20"/>
                <w:szCs w:val="20"/>
              </w:rPr>
            </w:pPr>
            <w:r>
              <w:rPr>
                <w:sz w:val="20"/>
                <w:szCs w:val="20"/>
              </w:rPr>
              <w:t xml:space="preserve">Stalni sudski tumač imenovan je:  </w:t>
            </w:r>
          </w:p>
          <w:p w:rsidR="004B6F5E" w:rsidRDefault="004B6F5E">
            <w:pPr>
              <w:rPr>
                <w:sz w:val="20"/>
                <w:szCs w:val="20"/>
              </w:rPr>
            </w:pPr>
          </w:p>
          <w:p w:rsidR="004B6F5E" w:rsidRDefault="004B6F5E">
            <w:pPr>
              <w:ind w:left="322"/>
              <w:rPr>
                <w:sz w:val="20"/>
                <w:szCs w:val="20"/>
              </w:rPr>
            </w:pPr>
            <w:r>
              <w:rPr>
                <w:sz w:val="20"/>
                <w:szCs w:val="20"/>
              </w:rPr>
              <w:t>                                    ________________________</w:t>
            </w:r>
          </w:p>
          <w:p w:rsidR="004B6F5E" w:rsidRDefault="004B6F5E">
            <w:pPr>
              <w:rPr>
                <w:sz w:val="20"/>
                <w:szCs w:val="20"/>
              </w:rPr>
            </w:pPr>
            <w:r>
              <w:rPr>
                <w:sz w:val="20"/>
                <w:szCs w:val="20"/>
              </w:rPr>
              <w:t xml:space="preserve">                                                          (dan, mjesec i godina)             </w:t>
            </w:r>
          </w:p>
          <w:p w:rsidR="004B6F5E" w:rsidRDefault="004B6F5E">
            <w:pPr>
              <w:rPr>
                <w:sz w:val="20"/>
                <w:szCs w:val="20"/>
              </w:rPr>
            </w:pPr>
          </w:p>
          <w:p w:rsidR="004B6F5E" w:rsidRDefault="004B6F5E">
            <w:pPr>
              <w:rPr>
                <w:sz w:val="20"/>
                <w:szCs w:val="20"/>
              </w:rPr>
            </w:pPr>
          </w:p>
          <w:p w:rsidR="004B6F5E" w:rsidRDefault="004B6F5E">
            <w:pPr>
              <w:rPr>
                <w:sz w:val="20"/>
                <w:szCs w:val="20"/>
              </w:rPr>
            </w:pPr>
            <w:r>
              <w:rPr>
                <w:sz w:val="20"/>
                <w:szCs w:val="20"/>
              </w:rPr>
              <w:t>                                                                                 Predsjednik suda</w:t>
            </w:r>
          </w:p>
          <w:p w:rsidR="004B6F5E" w:rsidRDefault="004B6F5E">
            <w:pPr>
              <w:rPr>
                <w:sz w:val="20"/>
                <w:szCs w:val="20"/>
              </w:rPr>
            </w:pPr>
          </w:p>
          <w:p w:rsidR="004B6F5E" w:rsidRDefault="004B6F5E">
            <w:pPr>
              <w:rPr>
                <w:sz w:val="20"/>
                <w:szCs w:val="20"/>
              </w:rPr>
            </w:pPr>
            <w:r>
              <w:rPr>
                <w:sz w:val="20"/>
                <w:szCs w:val="20"/>
              </w:rPr>
              <w:t xml:space="preserve"> Datum izdavanja____________          </w:t>
            </w:r>
            <w:proofErr w:type="spellStart"/>
            <w:r>
              <w:rPr>
                <w:sz w:val="20"/>
                <w:szCs w:val="20"/>
              </w:rPr>
              <w:t>M.P</w:t>
            </w:r>
            <w:proofErr w:type="spellEnd"/>
            <w:r>
              <w:rPr>
                <w:sz w:val="20"/>
                <w:szCs w:val="20"/>
              </w:rPr>
              <w:t>.                __________</w:t>
            </w:r>
          </w:p>
          <w:p w:rsidR="004B6F5E" w:rsidRDefault="004B6F5E">
            <w:pPr>
              <w:rPr>
                <w:sz w:val="20"/>
                <w:szCs w:val="20"/>
              </w:rPr>
            </w:pPr>
          </w:p>
          <w:p w:rsidR="004B6F5E" w:rsidRDefault="004B6F5E">
            <w:pPr>
              <w:rPr>
                <w:sz w:val="20"/>
                <w:szCs w:val="20"/>
              </w:rPr>
            </w:pPr>
            <w:r>
              <w:rPr>
                <w:sz w:val="20"/>
                <w:szCs w:val="20"/>
              </w:rPr>
              <w:t> Vrijedi do:  ________________</w:t>
            </w:r>
          </w:p>
        </w:tc>
      </w:tr>
    </w:tbl>
    <w:p w:rsidR="004B6F5E" w:rsidRDefault="004B6F5E" w:rsidP="004B6F5E">
      <w:pPr>
        <w:spacing w:before="100" w:beforeAutospacing="1" w:after="100" w:afterAutospacing="1" w:line="360" w:lineRule="auto"/>
        <w:rPr>
          <w:sz w:val="27"/>
          <w:szCs w:val="27"/>
        </w:rPr>
      </w:pPr>
    </w:p>
    <w:p w:rsidR="004B6F5E" w:rsidRDefault="004B6F5E" w:rsidP="004B6F5E">
      <w:pPr>
        <w:spacing w:before="100" w:beforeAutospacing="1" w:after="100" w:afterAutospacing="1" w:line="360" w:lineRule="auto"/>
        <w:rPr>
          <w:sz w:val="27"/>
          <w:szCs w:val="27"/>
        </w:rPr>
      </w:pPr>
    </w:p>
    <w:p w:rsidR="004B6F5E" w:rsidRDefault="004B6F5E" w:rsidP="004B6F5E">
      <w:pPr>
        <w:spacing w:before="100" w:beforeAutospacing="1" w:after="100" w:afterAutospacing="1" w:line="360" w:lineRule="auto"/>
        <w:rPr>
          <w:sz w:val="27"/>
          <w:szCs w:val="27"/>
        </w:rPr>
      </w:pPr>
    </w:p>
    <w:p w:rsidR="004B6F5E" w:rsidRDefault="004B6F5E" w:rsidP="004B6F5E">
      <w:pPr>
        <w:spacing w:before="100" w:beforeAutospacing="1" w:after="100" w:afterAutospacing="1" w:line="360" w:lineRule="auto"/>
        <w:rPr>
          <w:sz w:val="27"/>
          <w:szCs w:val="27"/>
        </w:rPr>
      </w:pPr>
    </w:p>
    <w:p w:rsidR="004B6F5E" w:rsidRDefault="004B6F5E" w:rsidP="004B6F5E">
      <w:pPr>
        <w:spacing w:before="100" w:beforeAutospacing="1" w:after="100" w:afterAutospacing="1" w:line="360" w:lineRule="auto"/>
        <w:rPr>
          <w:sz w:val="27"/>
          <w:szCs w:val="27"/>
        </w:rPr>
      </w:pPr>
    </w:p>
    <w:p w:rsidR="004B6F5E" w:rsidRDefault="004B6F5E" w:rsidP="004B6F5E">
      <w:pPr>
        <w:spacing w:before="100" w:beforeAutospacing="1" w:after="100" w:afterAutospacing="1" w:line="360" w:lineRule="auto"/>
        <w:rPr>
          <w:sz w:val="27"/>
          <w:szCs w:val="27"/>
        </w:rPr>
      </w:pPr>
    </w:p>
    <w:p w:rsidR="004B6F5E" w:rsidRDefault="004B6F5E" w:rsidP="004B6F5E">
      <w:pPr>
        <w:spacing w:before="100" w:beforeAutospacing="1" w:after="100" w:afterAutospacing="1" w:line="360" w:lineRule="auto"/>
        <w:rPr>
          <w:color w:val="000000"/>
          <w:sz w:val="27"/>
          <w:szCs w:val="27"/>
        </w:rPr>
      </w:pPr>
      <w:r>
        <w:rPr>
          <w:sz w:val="27"/>
          <w:szCs w:val="27"/>
        </w:rPr>
        <w:lastRenderedPageBreak/>
        <w:t xml:space="preserve">Obrazac broj 3 (297 × </w:t>
      </w:r>
      <w:smartTag w:uri="urn:schemas-microsoft-com:office:smarttags" w:element="metricconverter">
        <w:smartTagPr>
          <w:attr w:name="ProductID" w:val="210 mm"/>
        </w:smartTagPr>
        <w:r>
          <w:rPr>
            <w:sz w:val="27"/>
            <w:szCs w:val="27"/>
          </w:rPr>
          <w:t>210 mm</w:t>
        </w:r>
      </w:smartTag>
      <w:r>
        <w:rPr>
          <w:sz w:val="27"/>
          <w:szCs w:val="27"/>
        </w:rPr>
        <w:t>)</w:t>
      </w:r>
    </w:p>
    <w:p w:rsidR="004B6F5E" w:rsidRDefault="004B6F5E" w:rsidP="004B6F5E">
      <w:pPr>
        <w:spacing w:before="100" w:beforeAutospacing="1" w:after="100" w:afterAutospacing="1" w:line="360" w:lineRule="auto"/>
        <w:rPr>
          <w:color w:val="000000"/>
          <w:sz w:val="27"/>
          <w:szCs w:val="27"/>
        </w:rPr>
      </w:pPr>
      <w:r>
        <w:rPr>
          <w:color w:val="000000"/>
          <w:sz w:val="27"/>
          <w:szCs w:val="27"/>
        </w:rPr>
        <w:t>Naziv i sjedište suda</w:t>
      </w:r>
    </w:p>
    <w:p w:rsidR="004B6F5E" w:rsidRDefault="004B6F5E" w:rsidP="004B6F5E">
      <w:pPr>
        <w:spacing w:before="100" w:beforeAutospacing="1" w:after="100" w:afterAutospacing="1" w:line="360" w:lineRule="auto"/>
        <w:rPr>
          <w:color w:val="000000"/>
          <w:sz w:val="27"/>
          <w:szCs w:val="27"/>
        </w:rPr>
      </w:pPr>
      <w:r>
        <w:rPr>
          <w:color w:val="000000"/>
          <w:sz w:val="27"/>
          <w:szCs w:val="27"/>
        </w:rPr>
        <w:t>POPIS STALNIH SUDSKIH TUMAČA </w:t>
      </w:r>
    </w:p>
    <w:tbl>
      <w:tblPr>
        <w:tblW w:w="0" w:type="auto"/>
        <w:tblInd w:w="17" w:type="dxa"/>
        <w:tblCellMar>
          <w:left w:w="0" w:type="dxa"/>
          <w:right w:w="0" w:type="dxa"/>
        </w:tblCellMar>
        <w:tblLook w:val="04A0" w:firstRow="1" w:lastRow="0" w:firstColumn="1" w:lastColumn="0" w:noHBand="0" w:noVBand="1"/>
      </w:tblPr>
      <w:tblGrid>
        <w:gridCol w:w="567"/>
        <w:gridCol w:w="993"/>
        <w:gridCol w:w="1226"/>
        <w:gridCol w:w="900"/>
        <w:gridCol w:w="797"/>
        <w:gridCol w:w="904"/>
        <w:gridCol w:w="709"/>
        <w:gridCol w:w="784"/>
        <w:gridCol w:w="736"/>
        <w:gridCol w:w="697"/>
      </w:tblGrid>
      <w:tr w:rsidR="004B6F5E" w:rsidTr="004B6F5E">
        <w:trPr>
          <w:trHeight w:val="60"/>
        </w:trPr>
        <w:tc>
          <w:tcPr>
            <w:tcW w:w="567" w:type="dxa"/>
            <w:tcBorders>
              <w:top w:val="single" w:sz="8" w:space="0" w:color="000000"/>
              <w:left w:val="single" w:sz="8" w:space="0" w:color="000000"/>
              <w:bottom w:val="single" w:sz="8" w:space="0" w:color="000000"/>
              <w:right w:val="single" w:sz="8" w:space="0" w:color="000000"/>
            </w:tcBorders>
            <w:tcMar>
              <w:top w:w="45" w:type="dxa"/>
              <w:left w:w="17" w:type="dxa"/>
              <w:bottom w:w="57" w:type="dxa"/>
              <w:right w:w="17" w:type="dxa"/>
            </w:tcMar>
            <w:vAlign w:val="center"/>
            <w:hideMark/>
          </w:tcPr>
          <w:p w:rsidR="004B6F5E" w:rsidRDefault="004B6F5E">
            <w:pPr>
              <w:spacing w:before="100" w:beforeAutospacing="1" w:after="100" w:afterAutospacing="1" w:line="360" w:lineRule="auto"/>
              <w:jc w:val="center"/>
              <w:rPr>
                <w:sz w:val="20"/>
                <w:szCs w:val="20"/>
              </w:rPr>
            </w:pPr>
            <w:r>
              <w:rPr>
                <w:spacing w:val="-4"/>
                <w:sz w:val="17"/>
                <w:szCs w:val="17"/>
              </w:rPr>
              <w:t>Red. br.</w:t>
            </w:r>
          </w:p>
          <w:p w:rsidR="004B6F5E" w:rsidRDefault="004B6F5E">
            <w:pPr>
              <w:spacing w:before="100" w:beforeAutospacing="1" w:after="100" w:afterAutospacing="1" w:line="360" w:lineRule="auto"/>
              <w:jc w:val="center"/>
              <w:rPr>
                <w:sz w:val="20"/>
                <w:szCs w:val="20"/>
              </w:rPr>
            </w:pPr>
            <w:r>
              <w:rPr>
                <w:sz w:val="20"/>
                <w:szCs w:val="20"/>
              </w:rPr>
              <w:t> </w:t>
            </w:r>
          </w:p>
        </w:tc>
        <w:tc>
          <w:tcPr>
            <w:tcW w:w="993" w:type="dxa"/>
            <w:tcBorders>
              <w:top w:val="single" w:sz="8" w:space="0" w:color="000000"/>
              <w:left w:val="nil"/>
              <w:bottom w:val="single" w:sz="8" w:space="0" w:color="000000"/>
              <w:right w:val="single" w:sz="8" w:space="0" w:color="000000"/>
            </w:tcBorders>
            <w:tcMar>
              <w:top w:w="45" w:type="dxa"/>
              <w:left w:w="17" w:type="dxa"/>
              <w:bottom w:w="57" w:type="dxa"/>
              <w:right w:w="17" w:type="dxa"/>
            </w:tcMar>
            <w:vAlign w:val="center"/>
          </w:tcPr>
          <w:p w:rsidR="004B6F5E" w:rsidRDefault="004B6F5E">
            <w:pPr>
              <w:spacing w:before="100" w:beforeAutospacing="1" w:after="100" w:afterAutospacing="1" w:line="360" w:lineRule="auto"/>
              <w:jc w:val="center"/>
              <w:rPr>
                <w:sz w:val="20"/>
                <w:szCs w:val="20"/>
              </w:rPr>
            </w:pPr>
            <w:r>
              <w:rPr>
                <w:spacing w:val="-4"/>
                <w:sz w:val="17"/>
                <w:szCs w:val="17"/>
              </w:rPr>
              <w:t>Ime i</w:t>
            </w:r>
            <w:r>
              <w:rPr>
                <w:spacing w:val="-4"/>
                <w:sz w:val="17"/>
                <w:szCs w:val="17"/>
              </w:rPr>
              <w:br/>
              <w:t>prezime, boravište, adresa,  broj</w:t>
            </w:r>
            <w:r>
              <w:rPr>
                <w:spacing w:val="-4"/>
                <w:sz w:val="17"/>
                <w:szCs w:val="17"/>
              </w:rPr>
              <w:br/>
              <w:t>telefona i e-mail adresa tumača</w:t>
            </w:r>
          </w:p>
          <w:p w:rsidR="004B6F5E" w:rsidRDefault="004B6F5E">
            <w:pPr>
              <w:spacing w:before="100" w:beforeAutospacing="1" w:after="100" w:afterAutospacing="1" w:line="360" w:lineRule="auto"/>
              <w:jc w:val="center"/>
              <w:rPr>
                <w:sz w:val="20"/>
                <w:szCs w:val="20"/>
              </w:rPr>
            </w:pPr>
          </w:p>
        </w:tc>
        <w:tc>
          <w:tcPr>
            <w:tcW w:w="1226" w:type="dxa"/>
            <w:tcBorders>
              <w:top w:val="single" w:sz="8" w:space="0" w:color="000000"/>
              <w:left w:val="nil"/>
              <w:bottom w:val="single" w:sz="8" w:space="0" w:color="000000"/>
              <w:right w:val="single" w:sz="8" w:space="0" w:color="000000"/>
            </w:tcBorders>
            <w:tcMar>
              <w:top w:w="45" w:type="dxa"/>
              <w:left w:w="17" w:type="dxa"/>
              <w:bottom w:w="57" w:type="dxa"/>
              <w:right w:w="17" w:type="dxa"/>
            </w:tcMar>
            <w:vAlign w:val="center"/>
            <w:hideMark/>
          </w:tcPr>
          <w:p w:rsidR="004B6F5E" w:rsidRDefault="004B6F5E">
            <w:pPr>
              <w:spacing w:before="100" w:beforeAutospacing="1" w:after="100" w:afterAutospacing="1" w:line="360" w:lineRule="auto"/>
              <w:jc w:val="center"/>
              <w:rPr>
                <w:sz w:val="20"/>
                <w:szCs w:val="20"/>
              </w:rPr>
            </w:pPr>
            <w:r>
              <w:rPr>
                <w:spacing w:val="-4"/>
                <w:sz w:val="17"/>
                <w:szCs w:val="17"/>
              </w:rPr>
              <w:t>Zanimanje</w:t>
            </w:r>
          </w:p>
          <w:p w:rsidR="004B6F5E" w:rsidRDefault="004B6F5E">
            <w:pPr>
              <w:spacing w:before="100" w:beforeAutospacing="1" w:after="100" w:afterAutospacing="1" w:line="360" w:lineRule="auto"/>
              <w:jc w:val="center"/>
              <w:rPr>
                <w:sz w:val="20"/>
                <w:szCs w:val="20"/>
              </w:rPr>
            </w:pPr>
            <w:r>
              <w:rPr>
                <w:sz w:val="20"/>
                <w:szCs w:val="20"/>
              </w:rPr>
              <w:t> </w:t>
            </w:r>
          </w:p>
        </w:tc>
        <w:tc>
          <w:tcPr>
            <w:tcW w:w="900" w:type="dxa"/>
            <w:tcBorders>
              <w:top w:val="single" w:sz="8" w:space="0" w:color="000000"/>
              <w:left w:val="nil"/>
              <w:bottom w:val="single" w:sz="8" w:space="0" w:color="000000"/>
              <w:right w:val="single" w:sz="8" w:space="0" w:color="000000"/>
            </w:tcBorders>
            <w:tcMar>
              <w:top w:w="45" w:type="dxa"/>
              <w:left w:w="17" w:type="dxa"/>
              <w:bottom w:w="57" w:type="dxa"/>
              <w:right w:w="17" w:type="dxa"/>
            </w:tcMar>
            <w:vAlign w:val="center"/>
            <w:hideMark/>
          </w:tcPr>
          <w:p w:rsidR="004B6F5E" w:rsidRDefault="004B6F5E">
            <w:pPr>
              <w:spacing w:before="100" w:beforeAutospacing="1" w:after="100" w:afterAutospacing="1" w:line="360" w:lineRule="auto"/>
              <w:jc w:val="center"/>
              <w:rPr>
                <w:sz w:val="20"/>
                <w:szCs w:val="20"/>
              </w:rPr>
            </w:pPr>
            <w:r>
              <w:rPr>
                <w:spacing w:val="-4"/>
                <w:sz w:val="17"/>
                <w:szCs w:val="17"/>
              </w:rPr>
              <w:t>Jezik za kojeg je tumač imenovan</w:t>
            </w:r>
          </w:p>
          <w:p w:rsidR="004B6F5E" w:rsidRDefault="004B6F5E">
            <w:pPr>
              <w:spacing w:before="100" w:beforeAutospacing="1" w:after="100" w:afterAutospacing="1" w:line="360" w:lineRule="auto"/>
              <w:jc w:val="center"/>
              <w:rPr>
                <w:sz w:val="20"/>
                <w:szCs w:val="20"/>
              </w:rPr>
            </w:pPr>
            <w:r>
              <w:rPr>
                <w:sz w:val="20"/>
                <w:szCs w:val="20"/>
              </w:rPr>
              <w:t> </w:t>
            </w:r>
          </w:p>
        </w:tc>
        <w:tc>
          <w:tcPr>
            <w:tcW w:w="797" w:type="dxa"/>
            <w:tcBorders>
              <w:top w:val="single" w:sz="8" w:space="0" w:color="000000"/>
              <w:left w:val="nil"/>
              <w:bottom w:val="single" w:sz="8" w:space="0" w:color="000000"/>
              <w:right w:val="single" w:sz="8" w:space="0" w:color="000000"/>
            </w:tcBorders>
            <w:tcMar>
              <w:top w:w="45" w:type="dxa"/>
              <w:left w:w="17" w:type="dxa"/>
              <w:bottom w:w="57" w:type="dxa"/>
              <w:right w:w="17" w:type="dxa"/>
            </w:tcMar>
            <w:vAlign w:val="center"/>
            <w:hideMark/>
          </w:tcPr>
          <w:p w:rsidR="004B6F5E" w:rsidRDefault="004B6F5E">
            <w:pPr>
              <w:spacing w:before="100" w:beforeAutospacing="1" w:after="100" w:afterAutospacing="1" w:line="360" w:lineRule="auto"/>
              <w:jc w:val="center"/>
              <w:rPr>
                <w:sz w:val="20"/>
                <w:szCs w:val="20"/>
              </w:rPr>
            </w:pPr>
            <w:r>
              <w:rPr>
                <w:spacing w:val="-4"/>
                <w:sz w:val="17"/>
                <w:szCs w:val="17"/>
              </w:rPr>
              <w:t>Broj i datum rješenja o imenovanju</w:t>
            </w:r>
          </w:p>
          <w:p w:rsidR="004B6F5E" w:rsidRDefault="004B6F5E">
            <w:pPr>
              <w:spacing w:before="100" w:beforeAutospacing="1" w:after="100" w:afterAutospacing="1" w:line="360" w:lineRule="auto"/>
              <w:jc w:val="center"/>
              <w:rPr>
                <w:sz w:val="20"/>
                <w:szCs w:val="20"/>
              </w:rPr>
            </w:pPr>
            <w:r>
              <w:rPr>
                <w:sz w:val="20"/>
                <w:szCs w:val="20"/>
              </w:rPr>
              <w:t> </w:t>
            </w:r>
          </w:p>
        </w:tc>
        <w:tc>
          <w:tcPr>
            <w:tcW w:w="904" w:type="dxa"/>
            <w:tcBorders>
              <w:top w:val="single" w:sz="8" w:space="0" w:color="000000"/>
              <w:left w:val="nil"/>
              <w:bottom w:val="single" w:sz="8" w:space="0" w:color="000000"/>
              <w:right w:val="single" w:sz="8" w:space="0" w:color="000000"/>
            </w:tcBorders>
            <w:tcMar>
              <w:top w:w="45" w:type="dxa"/>
              <w:left w:w="17" w:type="dxa"/>
              <w:bottom w:w="57" w:type="dxa"/>
              <w:right w:w="17" w:type="dxa"/>
            </w:tcMar>
            <w:vAlign w:val="center"/>
            <w:hideMark/>
          </w:tcPr>
          <w:p w:rsidR="004B6F5E" w:rsidRDefault="004B6F5E">
            <w:pPr>
              <w:spacing w:before="100" w:beforeAutospacing="1" w:after="100" w:afterAutospacing="1" w:line="360" w:lineRule="auto"/>
              <w:jc w:val="center"/>
              <w:rPr>
                <w:sz w:val="20"/>
                <w:szCs w:val="20"/>
              </w:rPr>
            </w:pPr>
            <w:r>
              <w:rPr>
                <w:spacing w:val="-4"/>
                <w:sz w:val="17"/>
                <w:szCs w:val="17"/>
              </w:rPr>
              <w:t>Datum davanja prisege</w:t>
            </w:r>
          </w:p>
          <w:p w:rsidR="004B6F5E" w:rsidRDefault="004B6F5E">
            <w:pPr>
              <w:spacing w:before="100" w:beforeAutospacing="1" w:after="100" w:afterAutospacing="1" w:line="360" w:lineRule="auto"/>
              <w:jc w:val="center"/>
              <w:rPr>
                <w:sz w:val="20"/>
                <w:szCs w:val="20"/>
              </w:rPr>
            </w:pPr>
            <w:r>
              <w:rPr>
                <w:sz w:val="20"/>
                <w:szCs w:val="20"/>
              </w:rPr>
              <w:t> </w:t>
            </w:r>
          </w:p>
        </w:tc>
        <w:tc>
          <w:tcPr>
            <w:tcW w:w="709" w:type="dxa"/>
            <w:tcBorders>
              <w:top w:val="single" w:sz="8" w:space="0" w:color="000000"/>
              <w:left w:val="nil"/>
              <w:bottom w:val="single" w:sz="8" w:space="0" w:color="000000"/>
              <w:right w:val="single" w:sz="8" w:space="0" w:color="000000"/>
            </w:tcBorders>
            <w:tcMar>
              <w:top w:w="45" w:type="dxa"/>
              <w:left w:w="17" w:type="dxa"/>
              <w:bottom w:w="57" w:type="dxa"/>
              <w:right w:w="17" w:type="dxa"/>
            </w:tcMar>
            <w:vAlign w:val="center"/>
            <w:hideMark/>
          </w:tcPr>
          <w:p w:rsidR="004B6F5E" w:rsidRDefault="004B6F5E">
            <w:pPr>
              <w:spacing w:before="100" w:beforeAutospacing="1" w:after="100" w:afterAutospacing="1" w:line="360" w:lineRule="auto"/>
              <w:jc w:val="center"/>
              <w:rPr>
                <w:sz w:val="20"/>
                <w:szCs w:val="20"/>
              </w:rPr>
            </w:pPr>
            <w:r>
              <w:rPr>
                <w:spacing w:val="-4"/>
                <w:sz w:val="17"/>
                <w:szCs w:val="17"/>
              </w:rPr>
              <w:t>Pečat tumača</w:t>
            </w:r>
          </w:p>
          <w:p w:rsidR="004B6F5E" w:rsidRDefault="004B6F5E">
            <w:pPr>
              <w:spacing w:before="100" w:beforeAutospacing="1" w:after="100" w:afterAutospacing="1" w:line="360" w:lineRule="auto"/>
              <w:jc w:val="center"/>
              <w:rPr>
                <w:sz w:val="20"/>
                <w:szCs w:val="20"/>
              </w:rPr>
            </w:pPr>
            <w:r>
              <w:rPr>
                <w:sz w:val="20"/>
                <w:szCs w:val="20"/>
              </w:rPr>
              <w:t> </w:t>
            </w:r>
          </w:p>
        </w:tc>
        <w:tc>
          <w:tcPr>
            <w:tcW w:w="784" w:type="dxa"/>
            <w:tcBorders>
              <w:top w:val="single" w:sz="8" w:space="0" w:color="000000"/>
              <w:left w:val="nil"/>
              <w:bottom w:val="single" w:sz="8" w:space="0" w:color="000000"/>
              <w:right w:val="single" w:sz="8" w:space="0" w:color="000000"/>
            </w:tcBorders>
            <w:tcMar>
              <w:top w:w="45" w:type="dxa"/>
              <w:left w:w="17" w:type="dxa"/>
              <w:bottom w:w="57" w:type="dxa"/>
              <w:right w:w="17" w:type="dxa"/>
            </w:tcMar>
            <w:vAlign w:val="center"/>
            <w:hideMark/>
          </w:tcPr>
          <w:p w:rsidR="004B6F5E" w:rsidRDefault="004B6F5E">
            <w:pPr>
              <w:spacing w:before="100" w:beforeAutospacing="1" w:after="100" w:afterAutospacing="1" w:line="360" w:lineRule="auto"/>
              <w:jc w:val="center"/>
              <w:rPr>
                <w:sz w:val="20"/>
                <w:szCs w:val="20"/>
              </w:rPr>
            </w:pPr>
            <w:r>
              <w:rPr>
                <w:spacing w:val="-4"/>
                <w:sz w:val="17"/>
                <w:szCs w:val="17"/>
              </w:rPr>
              <w:t>Vlastoručni potpis</w:t>
            </w:r>
          </w:p>
          <w:p w:rsidR="004B6F5E" w:rsidRDefault="004B6F5E">
            <w:pPr>
              <w:spacing w:before="100" w:beforeAutospacing="1" w:after="100" w:afterAutospacing="1" w:line="360" w:lineRule="auto"/>
              <w:jc w:val="center"/>
              <w:rPr>
                <w:sz w:val="20"/>
                <w:szCs w:val="20"/>
              </w:rPr>
            </w:pPr>
            <w:r>
              <w:rPr>
                <w:sz w:val="20"/>
                <w:szCs w:val="20"/>
              </w:rPr>
              <w:t> </w:t>
            </w:r>
          </w:p>
        </w:tc>
        <w:tc>
          <w:tcPr>
            <w:tcW w:w="736" w:type="dxa"/>
            <w:tcBorders>
              <w:top w:val="single" w:sz="8" w:space="0" w:color="000000"/>
              <w:left w:val="nil"/>
              <w:bottom w:val="single" w:sz="8" w:space="0" w:color="000000"/>
              <w:right w:val="single" w:sz="8" w:space="0" w:color="000000"/>
            </w:tcBorders>
            <w:tcMar>
              <w:top w:w="45" w:type="dxa"/>
              <w:left w:w="17" w:type="dxa"/>
              <w:bottom w:w="57" w:type="dxa"/>
              <w:right w:w="17" w:type="dxa"/>
            </w:tcMar>
            <w:vAlign w:val="center"/>
            <w:hideMark/>
          </w:tcPr>
          <w:p w:rsidR="004B6F5E" w:rsidRDefault="004B6F5E">
            <w:pPr>
              <w:spacing w:before="100" w:beforeAutospacing="1" w:after="100" w:afterAutospacing="1" w:line="360" w:lineRule="auto"/>
              <w:jc w:val="center"/>
              <w:rPr>
                <w:sz w:val="20"/>
                <w:szCs w:val="20"/>
              </w:rPr>
            </w:pPr>
            <w:r>
              <w:rPr>
                <w:spacing w:val="-4"/>
                <w:sz w:val="17"/>
                <w:szCs w:val="17"/>
              </w:rPr>
              <w:t>Broj i</w:t>
            </w:r>
            <w:r>
              <w:rPr>
                <w:spacing w:val="-4"/>
                <w:sz w:val="17"/>
                <w:szCs w:val="17"/>
              </w:rPr>
              <w:br/>
              <w:t>datum rješenja o razrješenju</w:t>
            </w:r>
          </w:p>
          <w:p w:rsidR="004B6F5E" w:rsidRDefault="004B6F5E">
            <w:pPr>
              <w:spacing w:before="100" w:beforeAutospacing="1" w:after="100" w:afterAutospacing="1" w:line="360" w:lineRule="auto"/>
              <w:jc w:val="center"/>
              <w:rPr>
                <w:sz w:val="20"/>
                <w:szCs w:val="20"/>
              </w:rPr>
            </w:pPr>
            <w:r>
              <w:rPr>
                <w:sz w:val="20"/>
                <w:szCs w:val="20"/>
              </w:rPr>
              <w:t> </w:t>
            </w:r>
          </w:p>
        </w:tc>
        <w:tc>
          <w:tcPr>
            <w:tcW w:w="697" w:type="dxa"/>
            <w:tcBorders>
              <w:top w:val="single" w:sz="8" w:space="0" w:color="000000"/>
              <w:left w:val="nil"/>
              <w:bottom w:val="single" w:sz="8" w:space="0" w:color="000000"/>
              <w:right w:val="single" w:sz="8" w:space="0" w:color="000000"/>
            </w:tcBorders>
            <w:tcMar>
              <w:top w:w="45" w:type="dxa"/>
              <w:left w:w="17" w:type="dxa"/>
              <w:bottom w:w="57" w:type="dxa"/>
              <w:right w:w="17" w:type="dxa"/>
            </w:tcMar>
            <w:vAlign w:val="center"/>
            <w:hideMark/>
          </w:tcPr>
          <w:p w:rsidR="004B6F5E" w:rsidRDefault="004B6F5E">
            <w:pPr>
              <w:spacing w:before="100" w:beforeAutospacing="1" w:after="100" w:afterAutospacing="1" w:line="360" w:lineRule="auto"/>
              <w:jc w:val="center"/>
              <w:rPr>
                <w:sz w:val="20"/>
                <w:szCs w:val="20"/>
              </w:rPr>
            </w:pPr>
            <w:r>
              <w:rPr>
                <w:spacing w:val="-4"/>
                <w:sz w:val="17"/>
                <w:szCs w:val="17"/>
              </w:rPr>
              <w:t>Primjedba</w:t>
            </w:r>
          </w:p>
          <w:p w:rsidR="004B6F5E" w:rsidRDefault="004B6F5E">
            <w:pPr>
              <w:spacing w:before="100" w:beforeAutospacing="1" w:after="100" w:afterAutospacing="1" w:line="360" w:lineRule="auto"/>
              <w:jc w:val="center"/>
              <w:rPr>
                <w:sz w:val="20"/>
                <w:szCs w:val="20"/>
              </w:rPr>
            </w:pPr>
            <w:r>
              <w:rPr>
                <w:sz w:val="20"/>
                <w:szCs w:val="20"/>
              </w:rPr>
              <w:t> </w:t>
            </w:r>
          </w:p>
        </w:tc>
      </w:tr>
      <w:tr w:rsidR="004B6F5E" w:rsidTr="004B6F5E">
        <w:trPr>
          <w:trHeight w:val="60"/>
        </w:trPr>
        <w:tc>
          <w:tcPr>
            <w:tcW w:w="567" w:type="dxa"/>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hideMark/>
          </w:tcPr>
          <w:p w:rsidR="004B6F5E" w:rsidRDefault="004B6F5E">
            <w:pPr>
              <w:spacing w:before="100" w:beforeAutospacing="1" w:after="100" w:afterAutospacing="1" w:line="360" w:lineRule="auto"/>
              <w:jc w:val="center"/>
              <w:rPr>
                <w:sz w:val="20"/>
                <w:szCs w:val="20"/>
              </w:rPr>
            </w:pPr>
            <w:r>
              <w:rPr>
                <w:sz w:val="17"/>
                <w:szCs w:val="17"/>
              </w:rPr>
              <w:t>1</w:t>
            </w:r>
          </w:p>
          <w:p w:rsidR="004B6F5E" w:rsidRDefault="004B6F5E">
            <w:pPr>
              <w:spacing w:before="100" w:beforeAutospacing="1" w:after="100" w:afterAutospacing="1" w:line="360" w:lineRule="auto"/>
              <w:jc w:val="center"/>
              <w:rPr>
                <w:sz w:val="20"/>
                <w:szCs w:val="20"/>
              </w:rPr>
            </w:pPr>
            <w:r>
              <w:rPr>
                <w:sz w:val="20"/>
                <w:szCs w:val="20"/>
              </w:rPr>
              <w:t> </w:t>
            </w:r>
          </w:p>
        </w:tc>
        <w:tc>
          <w:tcPr>
            <w:tcW w:w="993" w:type="dxa"/>
            <w:tcBorders>
              <w:top w:val="nil"/>
              <w:left w:val="nil"/>
              <w:bottom w:val="single" w:sz="8" w:space="0" w:color="000000"/>
              <w:right w:val="single" w:sz="8" w:space="0" w:color="000000"/>
            </w:tcBorders>
            <w:tcMar>
              <w:top w:w="45" w:type="dxa"/>
              <w:left w:w="45" w:type="dxa"/>
              <w:bottom w:w="57" w:type="dxa"/>
              <w:right w:w="45" w:type="dxa"/>
            </w:tcMar>
            <w:vAlign w:val="center"/>
            <w:hideMark/>
          </w:tcPr>
          <w:p w:rsidR="004B6F5E" w:rsidRDefault="004B6F5E">
            <w:pPr>
              <w:spacing w:before="100" w:beforeAutospacing="1" w:after="100" w:afterAutospacing="1" w:line="360" w:lineRule="auto"/>
              <w:jc w:val="center"/>
              <w:rPr>
                <w:sz w:val="20"/>
                <w:szCs w:val="20"/>
              </w:rPr>
            </w:pPr>
            <w:r>
              <w:rPr>
                <w:sz w:val="17"/>
                <w:szCs w:val="17"/>
              </w:rPr>
              <w:t>2</w:t>
            </w:r>
          </w:p>
          <w:p w:rsidR="004B6F5E" w:rsidRDefault="004B6F5E">
            <w:pPr>
              <w:spacing w:before="100" w:beforeAutospacing="1" w:after="100" w:afterAutospacing="1" w:line="360" w:lineRule="auto"/>
              <w:jc w:val="center"/>
              <w:rPr>
                <w:sz w:val="20"/>
                <w:szCs w:val="20"/>
              </w:rPr>
            </w:pPr>
            <w:r>
              <w:rPr>
                <w:sz w:val="20"/>
                <w:szCs w:val="20"/>
              </w:rPr>
              <w:t> </w:t>
            </w:r>
          </w:p>
        </w:tc>
        <w:tc>
          <w:tcPr>
            <w:tcW w:w="1226" w:type="dxa"/>
            <w:tcBorders>
              <w:top w:val="nil"/>
              <w:left w:val="nil"/>
              <w:bottom w:val="single" w:sz="8" w:space="0" w:color="000000"/>
              <w:right w:val="single" w:sz="8" w:space="0" w:color="000000"/>
            </w:tcBorders>
            <w:tcMar>
              <w:top w:w="45" w:type="dxa"/>
              <w:left w:w="45" w:type="dxa"/>
              <w:bottom w:w="57" w:type="dxa"/>
              <w:right w:w="45" w:type="dxa"/>
            </w:tcMar>
            <w:vAlign w:val="center"/>
            <w:hideMark/>
          </w:tcPr>
          <w:p w:rsidR="004B6F5E" w:rsidRDefault="004B6F5E">
            <w:pPr>
              <w:spacing w:before="100" w:beforeAutospacing="1" w:after="100" w:afterAutospacing="1" w:line="360" w:lineRule="auto"/>
              <w:jc w:val="center"/>
              <w:rPr>
                <w:sz w:val="20"/>
                <w:szCs w:val="20"/>
              </w:rPr>
            </w:pPr>
            <w:r>
              <w:rPr>
                <w:sz w:val="17"/>
                <w:szCs w:val="17"/>
              </w:rPr>
              <w:t>3</w:t>
            </w:r>
          </w:p>
          <w:p w:rsidR="004B6F5E" w:rsidRDefault="004B6F5E">
            <w:pPr>
              <w:spacing w:before="100" w:beforeAutospacing="1" w:after="100" w:afterAutospacing="1" w:line="360" w:lineRule="auto"/>
              <w:jc w:val="center"/>
              <w:rPr>
                <w:sz w:val="20"/>
                <w:szCs w:val="20"/>
              </w:rPr>
            </w:pPr>
            <w:r>
              <w:rPr>
                <w:sz w:val="20"/>
                <w:szCs w:val="20"/>
              </w:rPr>
              <w:t> </w:t>
            </w:r>
          </w:p>
        </w:tc>
        <w:tc>
          <w:tcPr>
            <w:tcW w:w="900" w:type="dxa"/>
            <w:tcBorders>
              <w:top w:val="nil"/>
              <w:left w:val="nil"/>
              <w:bottom w:val="single" w:sz="8" w:space="0" w:color="000000"/>
              <w:right w:val="single" w:sz="8" w:space="0" w:color="000000"/>
            </w:tcBorders>
            <w:tcMar>
              <w:top w:w="45" w:type="dxa"/>
              <w:left w:w="45" w:type="dxa"/>
              <w:bottom w:w="57" w:type="dxa"/>
              <w:right w:w="45" w:type="dxa"/>
            </w:tcMar>
            <w:vAlign w:val="center"/>
            <w:hideMark/>
          </w:tcPr>
          <w:p w:rsidR="004B6F5E" w:rsidRDefault="004B6F5E">
            <w:pPr>
              <w:spacing w:before="100" w:beforeAutospacing="1" w:after="100" w:afterAutospacing="1" w:line="360" w:lineRule="auto"/>
              <w:jc w:val="center"/>
              <w:rPr>
                <w:sz w:val="20"/>
                <w:szCs w:val="20"/>
              </w:rPr>
            </w:pPr>
            <w:r>
              <w:rPr>
                <w:sz w:val="17"/>
                <w:szCs w:val="17"/>
              </w:rPr>
              <w:t>4</w:t>
            </w:r>
          </w:p>
          <w:p w:rsidR="004B6F5E" w:rsidRDefault="004B6F5E">
            <w:pPr>
              <w:spacing w:before="100" w:beforeAutospacing="1" w:after="100" w:afterAutospacing="1" w:line="360" w:lineRule="auto"/>
              <w:jc w:val="center"/>
              <w:rPr>
                <w:sz w:val="20"/>
                <w:szCs w:val="20"/>
              </w:rPr>
            </w:pPr>
            <w:r>
              <w:rPr>
                <w:sz w:val="20"/>
                <w:szCs w:val="20"/>
              </w:rPr>
              <w:t> </w:t>
            </w:r>
          </w:p>
        </w:tc>
        <w:tc>
          <w:tcPr>
            <w:tcW w:w="797" w:type="dxa"/>
            <w:tcBorders>
              <w:top w:val="nil"/>
              <w:left w:val="nil"/>
              <w:bottom w:val="single" w:sz="8" w:space="0" w:color="000000"/>
              <w:right w:val="single" w:sz="8" w:space="0" w:color="000000"/>
            </w:tcBorders>
            <w:tcMar>
              <w:top w:w="45" w:type="dxa"/>
              <w:left w:w="45" w:type="dxa"/>
              <w:bottom w:w="57" w:type="dxa"/>
              <w:right w:w="45" w:type="dxa"/>
            </w:tcMar>
            <w:vAlign w:val="center"/>
            <w:hideMark/>
          </w:tcPr>
          <w:p w:rsidR="004B6F5E" w:rsidRDefault="004B6F5E">
            <w:pPr>
              <w:spacing w:before="100" w:beforeAutospacing="1" w:after="100" w:afterAutospacing="1" w:line="360" w:lineRule="auto"/>
              <w:jc w:val="center"/>
              <w:rPr>
                <w:sz w:val="20"/>
                <w:szCs w:val="20"/>
              </w:rPr>
            </w:pPr>
            <w:r>
              <w:rPr>
                <w:sz w:val="17"/>
                <w:szCs w:val="17"/>
              </w:rPr>
              <w:t>5</w:t>
            </w:r>
          </w:p>
          <w:p w:rsidR="004B6F5E" w:rsidRDefault="004B6F5E">
            <w:pPr>
              <w:spacing w:before="100" w:beforeAutospacing="1" w:after="100" w:afterAutospacing="1" w:line="360" w:lineRule="auto"/>
              <w:jc w:val="center"/>
              <w:rPr>
                <w:sz w:val="20"/>
                <w:szCs w:val="20"/>
              </w:rPr>
            </w:pPr>
            <w:r>
              <w:rPr>
                <w:sz w:val="20"/>
                <w:szCs w:val="20"/>
              </w:rPr>
              <w:t> </w:t>
            </w:r>
          </w:p>
        </w:tc>
        <w:tc>
          <w:tcPr>
            <w:tcW w:w="904" w:type="dxa"/>
            <w:tcBorders>
              <w:top w:val="nil"/>
              <w:left w:val="nil"/>
              <w:bottom w:val="single" w:sz="8" w:space="0" w:color="000000"/>
              <w:right w:val="single" w:sz="8" w:space="0" w:color="000000"/>
            </w:tcBorders>
            <w:tcMar>
              <w:top w:w="45" w:type="dxa"/>
              <w:left w:w="45" w:type="dxa"/>
              <w:bottom w:w="57" w:type="dxa"/>
              <w:right w:w="45" w:type="dxa"/>
            </w:tcMar>
            <w:vAlign w:val="center"/>
            <w:hideMark/>
          </w:tcPr>
          <w:p w:rsidR="004B6F5E" w:rsidRDefault="004B6F5E">
            <w:pPr>
              <w:spacing w:before="100" w:beforeAutospacing="1" w:after="100" w:afterAutospacing="1" w:line="360" w:lineRule="auto"/>
              <w:jc w:val="center"/>
              <w:rPr>
                <w:sz w:val="20"/>
                <w:szCs w:val="20"/>
              </w:rPr>
            </w:pPr>
            <w:r>
              <w:rPr>
                <w:sz w:val="17"/>
                <w:szCs w:val="17"/>
              </w:rPr>
              <w:t>6</w:t>
            </w:r>
          </w:p>
          <w:p w:rsidR="004B6F5E" w:rsidRDefault="004B6F5E">
            <w:pPr>
              <w:spacing w:before="100" w:beforeAutospacing="1" w:after="100" w:afterAutospacing="1" w:line="360" w:lineRule="auto"/>
              <w:jc w:val="center"/>
              <w:rPr>
                <w:sz w:val="20"/>
                <w:szCs w:val="20"/>
              </w:rPr>
            </w:pPr>
            <w:r>
              <w:rPr>
                <w:sz w:val="20"/>
                <w:szCs w:val="20"/>
              </w:rPr>
              <w:t> </w:t>
            </w:r>
          </w:p>
        </w:tc>
        <w:tc>
          <w:tcPr>
            <w:tcW w:w="709" w:type="dxa"/>
            <w:tcBorders>
              <w:top w:val="nil"/>
              <w:left w:val="nil"/>
              <w:bottom w:val="single" w:sz="8" w:space="0" w:color="000000"/>
              <w:right w:val="single" w:sz="8" w:space="0" w:color="000000"/>
            </w:tcBorders>
            <w:tcMar>
              <w:top w:w="45" w:type="dxa"/>
              <w:left w:w="45" w:type="dxa"/>
              <w:bottom w:w="57" w:type="dxa"/>
              <w:right w:w="45" w:type="dxa"/>
            </w:tcMar>
            <w:vAlign w:val="center"/>
            <w:hideMark/>
          </w:tcPr>
          <w:p w:rsidR="004B6F5E" w:rsidRDefault="004B6F5E">
            <w:pPr>
              <w:spacing w:before="100" w:beforeAutospacing="1" w:after="100" w:afterAutospacing="1" w:line="360" w:lineRule="auto"/>
              <w:jc w:val="center"/>
              <w:rPr>
                <w:sz w:val="20"/>
                <w:szCs w:val="20"/>
              </w:rPr>
            </w:pPr>
            <w:r>
              <w:rPr>
                <w:sz w:val="17"/>
                <w:szCs w:val="17"/>
              </w:rPr>
              <w:t>7</w:t>
            </w:r>
          </w:p>
          <w:p w:rsidR="004B6F5E" w:rsidRDefault="004B6F5E">
            <w:pPr>
              <w:spacing w:before="100" w:beforeAutospacing="1" w:after="100" w:afterAutospacing="1" w:line="360" w:lineRule="auto"/>
              <w:jc w:val="center"/>
              <w:rPr>
                <w:sz w:val="20"/>
                <w:szCs w:val="20"/>
              </w:rPr>
            </w:pPr>
            <w:r>
              <w:rPr>
                <w:sz w:val="20"/>
                <w:szCs w:val="20"/>
              </w:rPr>
              <w:t> </w:t>
            </w:r>
          </w:p>
        </w:tc>
        <w:tc>
          <w:tcPr>
            <w:tcW w:w="784" w:type="dxa"/>
            <w:tcBorders>
              <w:top w:val="nil"/>
              <w:left w:val="nil"/>
              <w:bottom w:val="single" w:sz="8" w:space="0" w:color="000000"/>
              <w:right w:val="single" w:sz="8" w:space="0" w:color="000000"/>
            </w:tcBorders>
            <w:tcMar>
              <w:top w:w="45" w:type="dxa"/>
              <w:left w:w="45" w:type="dxa"/>
              <w:bottom w:w="57" w:type="dxa"/>
              <w:right w:w="45" w:type="dxa"/>
            </w:tcMar>
            <w:vAlign w:val="center"/>
            <w:hideMark/>
          </w:tcPr>
          <w:p w:rsidR="004B6F5E" w:rsidRDefault="004B6F5E">
            <w:pPr>
              <w:spacing w:before="100" w:beforeAutospacing="1" w:after="100" w:afterAutospacing="1" w:line="360" w:lineRule="auto"/>
              <w:jc w:val="center"/>
              <w:rPr>
                <w:sz w:val="20"/>
                <w:szCs w:val="20"/>
              </w:rPr>
            </w:pPr>
            <w:r>
              <w:rPr>
                <w:sz w:val="17"/>
                <w:szCs w:val="17"/>
              </w:rPr>
              <w:t>8</w:t>
            </w:r>
          </w:p>
          <w:p w:rsidR="004B6F5E" w:rsidRDefault="004B6F5E">
            <w:pPr>
              <w:spacing w:before="100" w:beforeAutospacing="1" w:after="100" w:afterAutospacing="1" w:line="360" w:lineRule="auto"/>
              <w:jc w:val="center"/>
              <w:rPr>
                <w:sz w:val="20"/>
                <w:szCs w:val="20"/>
              </w:rPr>
            </w:pPr>
            <w:r>
              <w:rPr>
                <w:sz w:val="20"/>
                <w:szCs w:val="20"/>
              </w:rPr>
              <w:t> </w:t>
            </w:r>
          </w:p>
        </w:tc>
        <w:tc>
          <w:tcPr>
            <w:tcW w:w="736" w:type="dxa"/>
            <w:tcBorders>
              <w:top w:val="nil"/>
              <w:left w:val="nil"/>
              <w:bottom w:val="single" w:sz="8" w:space="0" w:color="000000"/>
              <w:right w:val="single" w:sz="8" w:space="0" w:color="000000"/>
            </w:tcBorders>
            <w:tcMar>
              <w:top w:w="45" w:type="dxa"/>
              <w:left w:w="45" w:type="dxa"/>
              <w:bottom w:w="57" w:type="dxa"/>
              <w:right w:w="45" w:type="dxa"/>
            </w:tcMar>
            <w:vAlign w:val="center"/>
            <w:hideMark/>
          </w:tcPr>
          <w:p w:rsidR="004B6F5E" w:rsidRDefault="004B6F5E">
            <w:pPr>
              <w:spacing w:before="100" w:beforeAutospacing="1" w:after="100" w:afterAutospacing="1" w:line="360" w:lineRule="auto"/>
              <w:jc w:val="center"/>
              <w:rPr>
                <w:sz w:val="20"/>
                <w:szCs w:val="20"/>
              </w:rPr>
            </w:pPr>
            <w:r>
              <w:rPr>
                <w:sz w:val="17"/>
                <w:szCs w:val="17"/>
              </w:rPr>
              <w:t>9</w:t>
            </w:r>
          </w:p>
          <w:p w:rsidR="004B6F5E" w:rsidRDefault="004B6F5E">
            <w:pPr>
              <w:spacing w:before="100" w:beforeAutospacing="1" w:after="100" w:afterAutospacing="1" w:line="360" w:lineRule="auto"/>
              <w:jc w:val="center"/>
              <w:rPr>
                <w:sz w:val="20"/>
                <w:szCs w:val="20"/>
              </w:rPr>
            </w:pPr>
            <w:r>
              <w:rPr>
                <w:sz w:val="20"/>
                <w:szCs w:val="20"/>
              </w:rPr>
              <w:t> </w:t>
            </w:r>
          </w:p>
        </w:tc>
        <w:tc>
          <w:tcPr>
            <w:tcW w:w="697" w:type="dxa"/>
            <w:tcBorders>
              <w:top w:val="nil"/>
              <w:left w:val="nil"/>
              <w:bottom w:val="single" w:sz="8" w:space="0" w:color="000000"/>
              <w:right w:val="single" w:sz="8" w:space="0" w:color="000000"/>
            </w:tcBorders>
            <w:tcMar>
              <w:top w:w="45" w:type="dxa"/>
              <w:left w:w="45" w:type="dxa"/>
              <w:bottom w:w="57" w:type="dxa"/>
              <w:right w:w="45" w:type="dxa"/>
            </w:tcMar>
            <w:vAlign w:val="center"/>
            <w:hideMark/>
          </w:tcPr>
          <w:p w:rsidR="004B6F5E" w:rsidRDefault="004B6F5E">
            <w:pPr>
              <w:spacing w:before="100" w:beforeAutospacing="1" w:after="100" w:afterAutospacing="1" w:line="360" w:lineRule="auto"/>
              <w:jc w:val="center"/>
              <w:rPr>
                <w:sz w:val="20"/>
                <w:szCs w:val="20"/>
              </w:rPr>
            </w:pPr>
            <w:r>
              <w:rPr>
                <w:sz w:val="17"/>
                <w:szCs w:val="17"/>
              </w:rPr>
              <w:t>10</w:t>
            </w:r>
          </w:p>
          <w:p w:rsidR="004B6F5E" w:rsidRDefault="004B6F5E">
            <w:pPr>
              <w:spacing w:before="100" w:beforeAutospacing="1" w:after="100" w:afterAutospacing="1" w:line="360" w:lineRule="auto"/>
              <w:jc w:val="center"/>
              <w:rPr>
                <w:sz w:val="20"/>
                <w:szCs w:val="20"/>
              </w:rPr>
            </w:pPr>
            <w:r>
              <w:rPr>
                <w:sz w:val="20"/>
                <w:szCs w:val="20"/>
              </w:rPr>
              <w:t> </w:t>
            </w:r>
          </w:p>
        </w:tc>
      </w:tr>
      <w:tr w:rsidR="004B6F5E" w:rsidTr="004B6F5E">
        <w:trPr>
          <w:trHeight w:val="1303"/>
        </w:trPr>
        <w:tc>
          <w:tcPr>
            <w:tcW w:w="567" w:type="dxa"/>
            <w:tcBorders>
              <w:top w:val="nil"/>
              <w:left w:val="single" w:sz="8" w:space="0" w:color="000000"/>
              <w:bottom w:val="single" w:sz="8" w:space="0" w:color="000000"/>
              <w:right w:val="single" w:sz="8" w:space="0" w:color="000000"/>
            </w:tcBorders>
            <w:tcMar>
              <w:top w:w="45" w:type="dxa"/>
              <w:left w:w="45" w:type="dxa"/>
              <w:bottom w:w="57" w:type="dxa"/>
              <w:right w:w="45" w:type="dxa"/>
            </w:tcMar>
            <w:hideMark/>
          </w:tcPr>
          <w:p w:rsidR="004B6F5E" w:rsidRDefault="004B6F5E">
            <w:pPr>
              <w:spacing w:before="100" w:beforeAutospacing="1" w:after="100" w:afterAutospacing="1" w:line="360" w:lineRule="auto"/>
              <w:rPr>
                <w:sz w:val="20"/>
                <w:szCs w:val="20"/>
              </w:rPr>
            </w:pPr>
            <w:r>
              <w:rPr>
                <w:sz w:val="20"/>
                <w:szCs w:val="20"/>
              </w:rPr>
              <w:t> </w:t>
            </w:r>
          </w:p>
        </w:tc>
        <w:tc>
          <w:tcPr>
            <w:tcW w:w="993" w:type="dxa"/>
            <w:tcBorders>
              <w:top w:val="nil"/>
              <w:left w:val="nil"/>
              <w:bottom w:val="single" w:sz="8" w:space="0" w:color="000000"/>
              <w:right w:val="single" w:sz="8" w:space="0" w:color="000000"/>
            </w:tcBorders>
            <w:tcMar>
              <w:top w:w="45" w:type="dxa"/>
              <w:left w:w="45" w:type="dxa"/>
              <w:bottom w:w="57" w:type="dxa"/>
              <w:right w:w="45" w:type="dxa"/>
            </w:tcMar>
            <w:hideMark/>
          </w:tcPr>
          <w:p w:rsidR="004B6F5E" w:rsidRDefault="004B6F5E">
            <w:pPr>
              <w:spacing w:before="100" w:beforeAutospacing="1" w:after="100" w:afterAutospacing="1" w:line="360" w:lineRule="auto"/>
              <w:rPr>
                <w:sz w:val="20"/>
                <w:szCs w:val="20"/>
              </w:rPr>
            </w:pPr>
            <w:r>
              <w:rPr>
                <w:sz w:val="20"/>
                <w:szCs w:val="20"/>
              </w:rPr>
              <w:t> </w:t>
            </w:r>
          </w:p>
        </w:tc>
        <w:tc>
          <w:tcPr>
            <w:tcW w:w="1226" w:type="dxa"/>
            <w:tcBorders>
              <w:top w:val="nil"/>
              <w:left w:val="nil"/>
              <w:bottom w:val="single" w:sz="8" w:space="0" w:color="000000"/>
              <w:right w:val="single" w:sz="8" w:space="0" w:color="000000"/>
            </w:tcBorders>
            <w:tcMar>
              <w:top w:w="45" w:type="dxa"/>
              <w:left w:w="45" w:type="dxa"/>
              <w:bottom w:w="57" w:type="dxa"/>
              <w:right w:w="45" w:type="dxa"/>
            </w:tcMar>
            <w:hideMark/>
          </w:tcPr>
          <w:p w:rsidR="004B6F5E" w:rsidRDefault="004B6F5E">
            <w:pPr>
              <w:spacing w:before="100" w:beforeAutospacing="1" w:after="100" w:afterAutospacing="1" w:line="360" w:lineRule="auto"/>
              <w:rPr>
                <w:sz w:val="20"/>
                <w:szCs w:val="20"/>
              </w:rPr>
            </w:pPr>
            <w:r>
              <w:rPr>
                <w:sz w:val="20"/>
                <w:szCs w:val="20"/>
              </w:rPr>
              <w:t> </w:t>
            </w:r>
          </w:p>
        </w:tc>
        <w:tc>
          <w:tcPr>
            <w:tcW w:w="900" w:type="dxa"/>
            <w:tcBorders>
              <w:top w:val="nil"/>
              <w:left w:val="nil"/>
              <w:bottom w:val="single" w:sz="8" w:space="0" w:color="000000"/>
              <w:right w:val="single" w:sz="8" w:space="0" w:color="000000"/>
            </w:tcBorders>
            <w:tcMar>
              <w:top w:w="45" w:type="dxa"/>
              <w:left w:w="45" w:type="dxa"/>
              <w:bottom w:w="57" w:type="dxa"/>
              <w:right w:w="45" w:type="dxa"/>
            </w:tcMar>
            <w:hideMark/>
          </w:tcPr>
          <w:p w:rsidR="004B6F5E" w:rsidRDefault="004B6F5E">
            <w:pPr>
              <w:spacing w:before="100" w:beforeAutospacing="1" w:after="100" w:afterAutospacing="1" w:line="360" w:lineRule="auto"/>
              <w:rPr>
                <w:sz w:val="20"/>
                <w:szCs w:val="20"/>
              </w:rPr>
            </w:pPr>
            <w:r>
              <w:rPr>
                <w:sz w:val="20"/>
                <w:szCs w:val="20"/>
              </w:rPr>
              <w:t> </w:t>
            </w:r>
          </w:p>
        </w:tc>
        <w:tc>
          <w:tcPr>
            <w:tcW w:w="797" w:type="dxa"/>
            <w:tcBorders>
              <w:top w:val="nil"/>
              <w:left w:val="nil"/>
              <w:bottom w:val="single" w:sz="8" w:space="0" w:color="000000"/>
              <w:right w:val="single" w:sz="8" w:space="0" w:color="000000"/>
            </w:tcBorders>
            <w:tcMar>
              <w:top w:w="45" w:type="dxa"/>
              <w:left w:w="45" w:type="dxa"/>
              <w:bottom w:w="57" w:type="dxa"/>
              <w:right w:w="45" w:type="dxa"/>
            </w:tcMar>
            <w:hideMark/>
          </w:tcPr>
          <w:p w:rsidR="004B6F5E" w:rsidRDefault="004B6F5E">
            <w:pPr>
              <w:spacing w:before="100" w:beforeAutospacing="1" w:after="100" w:afterAutospacing="1" w:line="360" w:lineRule="auto"/>
              <w:rPr>
                <w:sz w:val="20"/>
                <w:szCs w:val="20"/>
              </w:rPr>
            </w:pPr>
            <w:r>
              <w:rPr>
                <w:sz w:val="20"/>
                <w:szCs w:val="20"/>
              </w:rPr>
              <w:t> </w:t>
            </w:r>
          </w:p>
        </w:tc>
        <w:tc>
          <w:tcPr>
            <w:tcW w:w="904" w:type="dxa"/>
            <w:tcBorders>
              <w:top w:val="nil"/>
              <w:left w:val="nil"/>
              <w:bottom w:val="single" w:sz="8" w:space="0" w:color="000000"/>
              <w:right w:val="single" w:sz="8" w:space="0" w:color="000000"/>
            </w:tcBorders>
            <w:tcMar>
              <w:top w:w="45" w:type="dxa"/>
              <w:left w:w="45" w:type="dxa"/>
              <w:bottom w:w="57" w:type="dxa"/>
              <w:right w:w="45" w:type="dxa"/>
            </w:tcMar>
            <w:hideMark/>
          </w:tcPr>
          <w:p w:rsidR="004B6F5E" w:rsidRDefault="004B6F5E">
            <w:pPr>
              <w:spacing w:before="100" w:beforeAutospacing="1" w:after="100" w:afterAutospacing="1" w:line="360" w:lineRule="auto"/>
              <w:rPr>
                <w:sz w:val="20"/>
                <w:szCs w:val="20"/>
              </w:rPr>
            </w:pPr>
            <w:r>
              <w:rPr>
                <w:sz w:val="20"/>
                <w:szCs w:val="20"/>
              </w:rPr>
              <w:t> </w:t>
            </w:r>
          </w:p>
        </w:tc>
        <w:tc>
          <w:tcPr>
            <w:tcW w:w="709" w:type="dxa"/>
            <w:tcBorders>
              <w:top w:val="nil"/>
              <w:left w:val="nil"/>
              <w:bottom w:val="single" w:sz="8" w:space="0" w:color="000000"/>
              <w:right w:val="single" w:sz="8" w:space="0" w:color="000000"/>
            </w:tcBorders>
            <w:tcMar>
              <w:top w:w="45" w:type="dxa"/>
              <w:left w:w="45" w:type="dxa"/>
              <w:bottom w:w="57" w:type="dxa"/>
              <w:right w:w="45" w:type="dxa"/>
            </w:tcMar>
            <w:hideMark/>
          </w:tcPr>
          <w:p w:rsidR="004B6F5E" w:rsidRDefault="004B6F5E">
            <w:pPr>
              <w:spacing w:before="100" w:beforeAutospacing="1" w:after="100" w:afterAutospacing="1" w:line="360" w:lineRule="auto"/>
              <w:rPr>
                <w:sz w:val="20"/>
                <w:szCs w:val="20"/>
              </w:rPr>
            </w:pPr>
            <w:r>
              <w:rPr>
                <w:sz w:val="20"/>
                <w:szCs w:val="20"/>
              </w:rPr>
              <w:t> </w:t>
            </w:r>
          </w:p>
        </w:tc>
        <w:tc>
          <w:tcPr>
            <w:tcW w:w="784" w:type="dxa"/>
            <w:tcBorders>
              <w:top w:val="nil"/>
              <w:left w:val="nil"/>
              <w:bottom w:val="single" w:sz="8" w:space="0" w:color="000000"/>
              <w:right w:val="single" w:sz="8" w:space="0" w:color="000000"/>
            </w:tcBorders>
            <w:tcMar>
              <w:top w:w="45" w:type="dxa"/>
              <w:left w:w="45" w:type="dxa"/>
              <w:bottom w:w="57" w:type="dxa"/>
              <w:right w:w="45" w:type="dxa"/>
            </w:tcMar>
            <w:hideMark/>
          </w:tcPr>
          <w:p w:rsidR="004B6F5E" w:rsidRDefault="004B6F5E">
            <w:pPr>
              <w:spacing w:before="100" w:beforeAutospacing="1" w:after="100" w:afterAutospacing="1" w:line="360" w:lineRule="auto"/>
              <w:rPr>
                <w:sz w:val="20"/>
                <w:szCs w:val="20"/>
              </w:rPr>
            </w:pPr>
            <w:r>
              <w:rPr>
                <w:sz w:val="20"/>
                <w:szCs w:val="20"/>
              </w:rPr>
              <w:t> </w:t>
            </w:r>
          </w:p>
        </w:tc>
        <w:tc>
          <w:tcPr>
            <w:tcW w:w="736" w:type="dxa"/>
            <w:tcBorders>
              <w:top w:val="nil"/>
              <w:left w:val="nil"/>
              <w:bottom w:val="single" w:sz="8" w:space="0" w:color="000000"/>
              <w:right w:val="single" w:sz="8" w:space="0" w:color="000000"/>
            </w:tcBorders>
            <w:tcMar>
              <w:top w:w="45" w:type="dxa"/>
              <w:left w:w="45" w:type="dxa"/>
              <w:bottom w:w="57" w:type="dxa"/>
              <w:right w:w="45" w:type="dxa"/>
            </w:tcMar>
            <w:hideMark/>
          </w:tcPr>
          <w:p w:rsidR="004B6F5E" w:rsidRDefault="004B6F5E">
            <w:pPr>
              <w:spacing w:before="100" w:beforeAutospacing="1" w:after="100" w:afterAutospacing="1" w:line="360" w:lineRule="auto"/>
              <w:rPr>
                <w:sz w:val="20"/>
                <w:szCs w:val="20"/>
              </w:rPr>
            </w:pPr>
            <w:r>
              <w:rPr>
                <w:sz w:val="20"/>
                <w:szCs w:val="20"/>
              </w:rPr>
              <w:t> </w:t>
            </w:r>
          </w:p>
        </w:tc>
        <w:tc>
          <w:tcPr>
            <w:tcW w:w="697" w:type="dxa"/>
            <w:tcBorders>
              <w:top w:val="nil"/>
              <w:left w:val="nil"/>
              <w:bottom w:val="single" w:sz="8" w:space="0" w:color="000000"/>
              <w:right w:val="single" w:sz="8" w:space="0" w:color="000000"/>
            </w:tcBorders>
            <w:tcMar>
              <w:top w:w="45" w:type="dxa"/>
              <w:left w:w="45" w:type="dxa"/>
              <w:bottom w:w="57" w:type="dxa"/>
              <w:right w:w="45" w:type="dxa"/>
            </w:tcMar>
            <w:hideMark/>
          </w:tcPr>
          <w:p w:rsidR="004B6F5E" w:rsidRDefault="004B6F5E">
            <w:pPr>
              <w:spacing w:before="100" w:beforeAutospacing="1" w:after="100" w:afterAutospacing="1" w:line="360" w:lineRule="auto"/>
              <w:rPr>
                <w:sz w:val="20"/>
                <w:szCs w:val="20"/>
              </w:rPr>
            </w:pPr>
            <w:r>
              <w:rPr>
                <w:sz w:val="20"/>
                <w:szCs w:val="20"/>
              </w:rPr>
              <w:t> </w:t>
            </w:r>
          </w:p>
        </w:tc>
      </w:tr>
    </w:tbl>
    <w:p w:rsidR="004B6F5E" w:rsidRDefault="004B6F5E" w:rsidP="004B6F5E">
      <w:pPr>
        <w:spacing w:before="100" w:beforeAutospacing="1" w:after="100" w:afterAutospacing="1"/>
        <w:rPr>
          <w:color w:val="000000"/>
          <w:sz w:val="27"/>
          <w:szCs w:val="27"/>
          <w:lang w:val="en-GB"/>
        </w:rPr>
      </w:pPr>
    </w:p>
    <w:p w:rsidR="004B6F5E" w:rsidRDefault="004B6F5E" w:rsidP="004B6F5E">
      <w:pPr>
        <w:rPr>
          <w:color w:val="000000"/>
          <w:sz w:val="27"/>
          <w:szCs w:val="27"/>
          <w:lang w:val="en-GB"/>
        </w:rPr>
      </w:pPr>
      <w:r>
        <w:rPr>
          <w:rFonts w:eastAsia="Times New Roman"/>
          <w:color w:val="000000"/>
          <w:sz w:val="27"/>
          <w:szCs w:val="27"/>
          <w:lang w:val="en-GB"/>
        </w:rPr>
        <w:br w:type="page"/>
      </w:r>
    </w:p>
    <w:p w:rsidR="004B6F5E" w:rsidRDefault="004B6F5E" w:rsidP="004B6F5E">
      <w:pPr>
        <w:spacing w:before="100" w:beforeAutospacing="1" w:after="100" w:afterAutospacing="1"/>
      </w:pPr>
      <w:r>
        <w:rPr>
          <w:sz w:val="27"/>
          <w:szCs w:val="27"/>
        </w:rPr>
        <w:lastRenderedPageBreak/>
        <w:t xml:space="preserve">Obrazac broj 4 (297 × </w:t>
      </w:r>
      <w:smartTag w:uri="urn:schemas-microsoft-com:office:smarttags" w:element="metricconverter">
        <w:smartTagPr>
          <w:attr w:name="ProductID" w:val="210 mm"/>
        </w:smartTagPr>
        <w:r>
          <w:rPr>
            <w:sz w:val="27"/>
            <w:szCs w:val="27"/>
          </w:rPr>
          <w:t>210 mm</w:t>
        </w:r>
      </w:smartTag>
      <w:r>
        <w:rPr>
          <w:sz w:val="27"/>
          <w:szCs w:val="27"/>
        </w:rPr>
        <w:t>)</w:t>
      </w:r>
      <w:r>
        <w:br/>
      </w:r>
      <w:r>
        <w:br/>
      </w:r>
      <w:r>
        <w:br/>
        <w:t>Naziv i sjedište suda</w:t>
      </w:r>
    </w:p>
    <w:p w:rsidR="004B6F5E" w:rsidRDefault="004B6F5E" w:rsidP="004B6F5E">
      <w:pPr>
        <w:spacing w:before="100" w:beforeAutospacing="1" w:after="100" w:afterAutospacing="1"/>
      </w:pPr>
      <w:r>
        <w:br/>
        <w:t>POPIS PRAVNIH OSOBA ZA OBAVLJANJE POSLOVA SUDSKOG TUMAČENJA </w:t>
      </w:r>
    </w:p>
    <w:tbl>
      <w:tblPr>
        <w:tblpPr w:leftFromText="180" w:rightFromText="180" w:vertAnchor="text"/>
        <w:tblW w:w="0" w:type="auto"/>
        <w:tblCellMar>
          <w:left w:w="0" w:type="dxa"/>
          <w:right w:w="0" w:type="dxa"/>
        </w:tblCellMar>
        <w:tblLook w:val="04A0" w:firstRow="1" w:lastRow="0" w:firstColumn="1" w:lastColumn="0" w:noHBand="0" w:noVBand="1"/>
      </w:tblPr>
      <w:tblGrid>
        <w:gridCol w:w="410"/>
        <w:gridCol w:w="670"/>
        <w:gridCol w:w="2181"/>
        <w:gridCol w:w="900"/>
        <w:gridCol w:w="1080"/>
        <w:gridCol w:w="900"/>
        <w:gridCol w:w="900"/>
        <w:gridCol w:w="900"/>
        <w:gridCol w:w="900"/>
      </w:tblGrid>
      <w:tr w:rsidR="004B6F5E" w:rsidTr="004B6F5E">
        <w:trPr>
          <w:trHeight w:val="60"/>
        </w:trPr>
        <w:tc>
          <w:tcPr>
            <w:tcW w:w="410" w:type="dxa"/>
            <w:tcBorders>
              <w:top w:val="double" w:sz="2" w:space="0" w:color="000000"/>
              <w:left w:val="double" w:sz="2" w:space="0" w:color="000000"/>
              <w:bottom w:val="double" w:sz="2" w:space="0" w:color="000000"/>
              <w:right w:val="double" w:sz="2" w:space="0" w:color="000000"/>
            </w:tcBorders>
            <w:hideMark/>
          </w:tcPr>
          <w:p w:rsidR="004B6F5E" w:rsidRDefault="004B6F5E">
            <w:pPr>
              <w:spacing w:before="100" w:beforeAutospacing="1" w:after="100" w:afterAutospacing="1"/>
              <w:jc w:val="center"/>
              <w:rPr>
                <w:sz w:val="20"/>
                <w:szCs w:val="20"/>
              </w:rPr>
            </w:pPr>
            <w:r>
              <w:rPr>
                <w:sz w:val="19"/>
                <w:szCs w:val="19"/>
              </w:rPr>
              <w:t>Red. br.</w:t>
            </w:r>
          </w:p>
          <w:p w:rsidR="004B6F5E" w:rsidRDefault="004B6F5E">
            <w:pPr>
              <w:spacing w:before="100" w:beforeAutospacing="1" w:after="100" w:afterAutospacing="1"/>
              <w:jc w:val="center"/>
              <w:rPr>
                <w:sz w:val="20"/>
                <w:szCs w:val="20"/>
              </w:rPr>
            </w:pPr>
            <w:r>
              <w:rPr>
                <w:sz w:val="20"/>
                <w:szCs w:val="20"/>
              </w:rPr>
              <w:t> </w:t>
            </w:r>
          </w:p>
        </w:tc>
        <w:tc>
          <w:tcPr>
            <w:tcW w:w="670" w:type="dxa"/>
            <w:tcBorders>
              <w:top w:val="double" w:sz="2" w:space="0" w:color="000000"/>
              <w:left w:val="nil"/>
              <w:bottom w:val="double" w:sz="2" w:space="0" w:color="000000"/>
              <w:right w:val="double" w:sz="2" w:space="0" w:color="000000"/>
            </w:tcBorders>
            <w:hideMark/>
          </w:tcPr>
          <w:p w:rsidR="004B6F5E" w:rsidRDefault="004B6F5E">
            <w:pPr>
              <w:spacing w:before="100" w:beforeAutospacing="1" w:after="100" w:afterAutospacing="1"/>
              <w:jc w:val="center"/>
              <w:rPr>
                <w:sz w:val="20"/>
                <w:szCs w:val="20"/>
              </w:rPr>
            </w:pPr>
            <w:r>
              <w:rPr>
                <w:spacing w:val="-5"/>
                <w:sz w:val="19"/>
                <w:szCs w:val="19"/>
              </w:rPr>
              <w:t>Naziv</w:t>
            </w:r>
          </w:p>
          <w:p w:rsidR="004B6F5E" w:rsidRDefault="004B6F5E">
            <w:pPr>
              <w:spacing w:before="100" w:beforeAutospacing="1" w:after="100" w:afterAutospacing="1"/>
              <w:jc w:val="center"/>
              <w:rPr>
                <w:sz w:val="20"/>
                <w:szCs w:val="20"/>
              </w:rPr>
            </w:pPr>
            <w:r>
              <w:rPr>
                <w:sz w:val="20"/>
                <w:szCs w:val="20"/>
              </w:rPr>
              <w:t> </w:t>
            </w:r>
          </w:p>
        </w:tc>
        <w:tc>
          <w:tcPr>
            <w:tcW w:w="2181" w:type="dxa"/>
            <w:tcBorders>
              <w:top w:val="double" w:sz="2" w:space="0" w:color="000000"/>
              <w:left w:val="nil"/>
              <w:bottom w:val="double" w:sz="2" w:space="0" w:color="000000"/>
              <w:right w:val="double" w:sz="2" w:space="0" w:color="000000"/>
            </w:tcBorders>
            <w:hideMark/>
          </w:tcPr>
          <w:p w:rsidR="004B6F5E" w:rsidRDefault="004B6F5E">
            <w:pPr>
              <w:spacing w:before="100" w:beforeAutospacing="1" w:after="100" w:afterAutospacing="1"/>
              <w:jc w:val="center"/>
              <w:rPr>
                <w:spacing w:val="-5"/>
                <w:sz w:val="19"/>
                <w:szCs w:val="19"/>
              </w:rPr>
            </w:pPr>
            <w:r>
              <w:rPr>
                <w:spacing w:val="-5"/>
                <w:sz w:val="19"/>
                <w:szCs w:val="19"/>
              </w:rPr>
              <w:t xml:space="preserve">Ime i prezime stalnog sudskog tumača zaposlenog u pravnoj osobi </w:t>
            </w:r>
          </w:p>
        </w:tc>
        <w:tc>
          <w:tcPr>
            <w:tcW w:w="900" w:type="dxa"/>
            <w:tcBorders>
              <w:top w:val="double" w:sz="2" w:space="0" w:color="000000"/>
              <w:left w:val="nil"/>
              <w:bottom w:val="double" w:sz="2" w:space="0" w:color="000000"/>
              <w:right w:val="double" w:sz="2" w:space="0" w:color="000000"/>
            </w:tcBorders>
            <w:tcMar>
              <w:top w:w="45" w:type="dxa"/>
              <w:left w:w="28" w:type="dxa"/>
              <w:bottom w:w="57" w:type="dxa"/>
              <w:right w:w="28" w:type="dxa"/>
            </w:tcMar>
            <w:hideMark/>
          </w:tcPr>
          <w:p w:rsidR="004B6F5E" w:rsidRDefault="004B6F5E">
            <w:pPr>
              <w:spacing w:before="100" w:beforeAutospacing="1" w:after="100" w:afterAutospacing="1"/>
              <w:jc w:val="center"/>
              <w:rPr>
                <w:sz w:val="20"/>
                <w:szCs w:val="20"/>
              </w:rPr>
            </w:pPr>
            <w:r>
              <w:rPr>
                <w:spacing w:val="-5"/>
                <w:sz w:val="19"/>
                <w:szCs w:val="19"/>
              </w:rPr>
              <w:t>Adresa</w:t>
            </w:r>
            <w:r>
              <w:rPr>
                <w:spacing w:val="-5"/>
                <w:sz w:val="19"/>
                <w:szCs w:val="19"/>
              </w:rPr>
              <w:br/>
              <w:t>i broj</w:t>
            </w:r>
            <w:r>
              <w:rPr>
                <w:spacing w:val="-5"/>
                <w:sz w:val="19"/>
                <w:szCs w:val="19"/>
              </w:rPr>
              <w:br/>
              <w:t>telefona</w:t>
            </w:r>
          </w:p>
          <w:p w:rsidR="004B6F5E" w:rsidRDefault="004B6F5E">
            <w:pPr>
              <w:spacing w:before="100" w:beforeAutospacing="1" w:after="100" w:afterAutospacing="1"/>
              <w:jc w:val="center"/>
              <w:rPr>
                <w:sz w:val="20"/>
                <w:szCs w:val="20"/>
              </w:rPr>
            </w:pPr>
            <w:r>
              <w:rPr>
                <w:sz w:val="20"/>
                <w:szCs w:val="20"/>
              </w:rPr>
              <w:t> </w:t>
            </w:r>
          </w:p>
        </w:tc>
        <w:tc>
          <w:tcPr>
            <w:tcW w:w="1080" w:type="dxa"/>
            <w:tcBorders>
              <w:top w:val="double" w:sz="2" w:space="0" w:color="000000"/>
              <w:left w:val="nil"/>
              <w:bottom w:val="double" w:sz="2" w:space="0" w:color="000000"/>
              <w:right w:val="double" w:sz="2" w:space="0" w:color="000000"/>
            </w:tcBorders>
            <w:tcMar>
              <w:top w:w="45" w:type="dxa"/>
              <w:left w:w="28" w:type="dxa"/>
              <w:bottom w:w="57" w:type="dxa"/>
              <w:right w:w="28" w:type="dxa"/>
            </w:tcMar>
            <w:hideMark/>
          </w:tcPr>
          <w:p w:rsidR="004B6F5E" w:rsidRDefault="004B6F5E">
            <w:pPr>
              <w:spacing w:before="100" w:beforeAutospacing="1" w:after="100" w:afterAutospacing="1"/>
              <w:jc w:val="center"/>
              <w:rPr>
                <w:sz w:val="20"/>
                <w:szCs w:val="20"/>
              </w:rPr>
            </w:pPr>
            <w:r>
              <w:rPr>
                <w:spacing w:val="-5"/>
                <w:sz w:val="19"/>
                <w:szCs w:val="19"/>
              </w:rPr>
              <w:t>Jezik  za koji je tumač imenovan</w:t>
            </w:r>
          </w:p>
          <w:p w:rsidR="004B6F5E" w:rsidRDefault="004B6F5E">
            <w:pPr>
              <w:spacing w:before="100" w:beforeAutospacing="1" w:after="100" w:afterAutospacing="1"/>
              <w:jc w:val="center"/>
              <w:rPr>
                <w:sz w:val="20"/>
                <w:szCs w:val="20"/>
              </w:rPr>
            </w:pPr>
            <w:r>
              <w:rPr>
                <w:sz w:val="20"/>
                <w:szCs w:val="20"/>
              </w:rPr>
              <w:t> </w:t>
            </w:r>
          </w:p>
        </w:tc>
        <w:tc>
          <w:tcPr>
            <w:tcW w:w="900" w:type="dxa"/>
            <w:tcBorders>
              <w:top w:val="double" w:sz="2" w:space="0" w:color="000000"/>
              <w:left w:val="nil"/>
              <w:bottom w:val="double" w:sz="2" w:space="0" w:color="000000"/>
              <w:right w:val="double" w:sz="2" w:space="0" w:color="000000"/>
            </w:tcBorders>
            <w:tcMar>
              <w:top w:w="45" w:type="dxa"/>
              <w:left w:w="28" w:type="dxa"/>
              <w:bottom w:w="57" w:type="dxa"/>
              <w:right w:w="28" w:type="dxa"/>
            </w:tcMar>
            <w:hideMark/>
          </w:tcPr>
          <w:p w:rsidR="004B6F5E" w:rsidRDefault="004B6F5E">
            <w:pPr>
              <w:spacing w:before="100" w:beforeAutospacing="1" w:after="100" w:afterAutospacing="1"/>
              <w:jc w:val="center"/>
              <w:rPr>
                <w:sz w:val="20"/>
                <w:szCs w:val="20"/>
              </w:rPr>
            </w:pPr>
            <w:r>
              <w:rPr>
                <w:sz w:val="19"/>
                <w:szCs w:val="19"/>
              </w:rPr>
              <w:t>Rješenja o upisu u sudski registar</w:t>
            </w:r>
          </w:p>
          <w:p w:rsidR="004B6F5E" w:rsidRDefault="004B6F5E">
            <w:pPr>
              <w:spacing w:before="100" w:beforeAutospacing="1" w:after="100" w:afterAutospacing="1"/>
              <w:jc w:val="center"/>
              <w:rPr>
                <w:sz w:val="20"/>
                <w:szCs w:val="20"/>
              </w:rPr>
            </w:pPr>
            <w:r>
              <w:rPr>
                <w:sz w:val="20"/>
                <w:szCs w:val="20"/>
              </w:rPr>
              <w:t> </w:t>
            </w:r>
          </w:p>
        </w:tc>
        <w:tc>
          <w:tcPr>
            <w:tcW w:w="900" w:type="dxa"/>
            <w:tcBorders>
              <w:top w:val="double" w:sz="2" w:space="0" w:color="000000"/>
              <w:left w:val="nil"/>
              <w:bottom w:val="double" w:sz="2" w:space="0" w:color="000000"/>
              <w:right w:val="double" w:sz="2" w:space="0" w:color="000000"/>
            </w:tcBorders>
            <w:tcMar>
              <w:top w:w="45" w:type="dxa"/>
              <w:left w:w="28" w:type="dxa"/>
              <w:bottom w:w="57" w:type="dxa"/>
              <w:right w:w="28" w:type="dxa"/>
            </w:tcMar>
            <w:hideMark/>
          </w:tcPr>
          <w:p w:rsidR="004B6F5E" w:rsidRDefault="004B6F5E">
            <w:pPr>
              <w:spacing w:before="100" w:beforeAutospacing="1" w:after="100" w:afterAutospacing="1"/>
              <w:jc w:val="center"/>
              <w:rPr>
                <w:sz w:val="20"/>
                <w:szCs w:val="20"/>
              </w:rPr>
            </w:pPr>
            <w:r>
              <w:rPr>
                <w:sz w:val="19"/>
                <w:szCs w:val="19"/>
              </w:rPr>
              <w:t xml:space="preserve">Broj </w:t>
            </w:r>
            <w:r>
              <w:rPr>
                <w:sz w:val="19"/>
                <w:szCs w:val="19"/>
              </w:rPr>
              <w:br/>
              <w:t>sudskog</w:t>
            </w:r>
            <w:r>
              <w:rPr>
                <w:sz w:val="19"/>
                <w:szCs w:val="19"/>
              </w:rPr>
              <w:br/>
              <w:t>spisa i</w:t>
            </w:r>
            <w:r>
              <w:rPr>
                <w:sz w:val="19"/>
                <w:szCs w:val="19"/>
              </w:rPr>
              <w:br/>
              <w:t>datum</w:t>
            </w:r>
            <w:r>
              <w:rPr>
                <w:sz w:val="19"/>
                <w:szCs w:val="19"/>
              </w:rPr>
              <w:br/>
              <w:t>upisa u sudski registar</w:t>
            </w:r>
          </w:p>
          <w:p w:rsidR="004B6F5E" w:rsidRDefault="004B6F5E">
            <w:pPr>
              <w:spacing w:before="100" w:beforeAutospacing="1" w:after="100" w:afterAutospacing="1"/>
              <w:jc w:val="center"/>
              <w:rPr>
                <w:sz w:val="20"/>
                <w:szCs w:val="20"/>
              </w:rPr>
            </w:pPr>
            <w:r>
              <w:rPr>
                <w:sz w:val="20"/>
                <w:szCs w:val="20"/>
              </w:rPr>
              <w:t> </w:t>
            </w:r>
          </w:p>
        </w:tc>
        <w:tc>
          <w:tcPr>
            <w:tcW w:w="900" w:type="dxa"/>
            <w:tcBorders>
              <w:top w:val="double" w:sz="2" w:space="0" w:color="000000"/>
              <w:left w:val="nil"/>
              <w:bottom w:val="double" w:sz="2" w:space="0" w:color="000000"/>
              <w:right w:val="double" w:sz="2" w:space="0" w:color="000000"/>
            </w:tcBorders>
            <w:tcMar>
              <w:top w:w="45" w:type="dxa"/>
              <w:left w:w="28" w:type="dxa"/>
              <w:bottom w:w="57" w:type="dxa"/>
              <w:right w:w="28" w:type="dxa"/>
            </w:tcMar>
            <w:hideMark/>
          </w:tcPr>
          <w:p w:rsidR="004B6F5E" w:rsidRDefault="004B6F5E">
            <w:pPr>
              <w:spacing w:before="100" w:beforeAutospacing="1" w:after="100" w:afterAutospacing="1"/>
              <w:jc w:val="center"/>
              <w:rPr>
                <w:sz w:val="20"/>
                <w:szCs w:val="20"/>
              </w:rPr>
            </w:pPr>
            <w:r>
              <w:rPr>
                <w:sz w:val="19"/>
                <w:szCs w:val="19"/>
              </w:rPr>
              <w:t xml:space="preserve">Broj </w:t>
            </w:r>
            <w:r>
              <w:rPr>
                <w:sz w:val="19"/>
                <w:szCs w:val="19"/>
              </w:rPr>
              <w:br/>
              <w:t>sudskog</w:t>
            </w:r>
            <w:r>
              <w:rPr>
                <w:sz w:val="19"/>
                <w:szCs w:val="19"/>
              </w:rPr>
              <w:br/>
              <w:t>spisa i</w:t>
            </w:r>
            <w:r>
              <w:rPr>
                <w:sz w:val="19"/>
                <w:szCs w:val="19"/>
              </w:rPr>
              <w:br/>
              <w:t>datum</w:t>
            </w:r>
            <w:r>
              <w:rPr>
                <w:sz w:val="19"/>
                <w:szCs w:val="19"/>
              </w:rPr>
              <w:br/>
              <w:t>brisanja</w:t>
            </w:r>
          </w:p>
          <w:p w:rsidR="004B6F5E" w:rsidRDefault="004B6F5E">
            <w:pPr>
              <w:spacing w:before="100" w:beforeAutospacing="1" w:after="100" w:afterAutospacing="1"/>
              <w:ind w:right="-249"/>
              <w:jc w:val="center"/>
              <w:rPr>
                <w:sz w:val="20"/>
                <w:szCs w:val="20"/>
              </w:rPr>
            </w:pPr>
            <w:r>
              <w:rPr>
                <w:sz w:val="20"/>
                <w:szCs w:val="20"/>
              </w:rPr>
              <w:t> </w:t>
            </w:r>
          </w:p>
        </w:tc>
        <w:tc>
          <w:tcPr>
            <w:tcW w:w="900" w:type="dxa"/>
            <w:tcBorders>
              <w:top w:val="double" w:sz="2" w:space="0" w:color="000000"/>
              <w:left w:val="nil"/>
              <w:bottom w:val="double" w:sz="2" w:space="0" w:color="000000"/>
              <w:right w:val="double" w:sz="2" w:space="0" w:color="000000"/>
            </w:tcBorders>
            <w:tcMar>
              <w:top w:w="45" w:type="dxa"/>
              <w:left w:w="28" w:type="dxa"/>
              <w:bottom w:w="57" w:type="dxa"/>
              <w:right w:w="28" w:type="dxa"/>
            </w:tcMar>
            <w:hideMark/>
          </w:tcPr>
          <w:p w:rsidR="004B6F5E" w:rsidRDefault="004B6F5E">
            <w:pPr>
              <w:spacing w:before="100" w:beforeAutospacing="1" w:after="100" w:afterAutospacing="1"/>
              <w:jc w:val="center"/>
              <w:rPr>
                <w:sz w:val="20"/>
                <w:szCs w:val="20"/>
              </w:rPr>
            </w:pPr>
            <w:r>
              <w:rPr>
                <w:spacing w:val="-5"/>
                <w:sz w:val="19"/>
                <w:szCs w:val="19"/>
              </w:rPr>
              <w:t>Primjedba</w:t>
            </w:r>
          </w:p>
          <w:p w:rsidR="004B6F5E" w:rsidRDefault="004B6F5E">
            <w:pPr>
              <w:spacing w:before="100" w:beforeAutospacing="1" w:after="100" w:afterAutospacing="1"/>
              <w:jc w:val="center"/>
              <w:rPr>
                <w:sz w:val="20"/>
                <w:szCs w:val="20"/>
              </w:rPr>
            </w:pPr>
            <w:r>
              <w:rPr>
                <w:sz w:val="20"/>
                <w:szCs w:val="20"/>
              </w:rPr>
              <w:t> </w:t>
            </w:r>
          </w:p>
        </w:tc>
      </w:tr>
      <w:tr w:rsidR="004B6F5E" w:rsidTr="004B6F5E">
        <w:trPr>
          <w:trHeight w:val="60"/>
        </w:trPr>
        <w:tc>
          <w:tcPr>
            <w:tcW w:w="410" w:type="dxa"/>
            <w:tcBorders>
              <w:top w:val="nil"/>
              <w:left w:val="double" w:sz="2" w:space="0" w:color="000000"/>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jc w:val="center"/>
              <w:rPr>
                <w:sz w:val="20"/>
                <w:szCs w:val="20"/>
              </w:rPr>
            </w:pPr>
            <w:r>
              <w:rPr>
                <w:sz w:val="20"/>
                <w:szCs w:val="20"/>
              </w:rPr>
              <w:t>1</w:t>
            </w:r>
          </w:p>
          <w:p w:rsidR="004B6F5E" w:rsidRDefault="004B6F5E">
            <w:pPr>
              <w:spacing w:before="100" w:beforeAutospacing="1" w:after="100" w:afterAutospacing="1"/>
              <w:jc w:val="center"/>
              <w:rPr>
                <w:sz w:val="20"/>
                <w:szCs w:val="20"/>
              </w:rPr>
            </w:pPr>
            <w:r>
              <w:rPr>
                <w:sz w:val="20"/>
                <w:szCs w:val="20"/>
              </w:rPr>
              <w:t> </w:t>
            </w:r>
          </w:p>
        </w:tc>
        <w:tc>
          <w:tcPr>
            <w:tcW w:w="67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jc w:val="center"/>
              <w:rPr>
                <w:sz w:val="20"/>
                <w:szCs w:val="20"/>
              </w:rPr>
            </w:pPr>
            <w:r>
              <w:rPr>
                <w:sz w:val="20"/>
                <w:szCs w:val="20"/>
              </w:rPr>
              <w:t>2</w:t>
            </w:r>
          </w:p>
          <w:p w:rsidR="004B6F5E" w:rsidRDefault="004B6F5E">
            <w:pPr>
              <w:spacing w:before="100" w:beforeAutospacing="1" w:after="100" w:afterAutospacing="1"/>
              <w:jc w:val="center"/>
              <w:rPr>
                <w:sz w:val="20"/>
                <w:szCs w:val="20"/>
              </w:rPr>
            </w:pPr>
            <w:r>
              <w:rPr>
                <w:sz w:val="20"/>
                <w:szCs w:val="20"/>
              </w:rPr>
              <w:t> </w:t>
            </w:r>
          </w:p>
        </w:tc>
        <w:tc>
          <w:tcPr>
            <w:tcW w:w="2181"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jc w:val="center"/>
              <w:rPr>
                <w:sz w:val="20"/>
                <w:szCs w:val="20"/>
              </w:rPr>
            </w:pPr>
            <w:r>
              <w:rPr>
                <w:sz w:val="20"/>
                <w:szCs w:val="20"/>
              </w:rPr>
              <w:t>3</w:t>
            </w:r>
          </w:p>
          <w:p w:rsidR="004B6F5E" w:rsidRDefault="004B6F5E">
            <w:pPr>
              <w:spacing w:before="100" w:beforeAutospacing="1" w:after="100" w:afterAutospacing="1"/>
              <w:jc w:val="center"/>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jc w:val="center"/>
              <w:rPr>
                <w:sz w:val="20"/>
                <w:szCs w:val="20"/>
              </w:rPr>
            </w:pPr>
            <w:r>
              <w:rPr>
                <w:sz w:val="20"/>
                <w:szCs w:val="20"/>
              </w:rPr>
              <w:t>4</w:t>
            </w:r>
          </w:p>
          <w:p w:rsidR="004B6F5E" w:rsidRDefault="004B6F5E">
            <w:pPr>
              <w:spacing w:before="100" w:beforeAutospacing="1" w:after="100" w:afterAutospacing="1"/>
              <w:jc w:val="center"/>
              <w:rPr>
                <w:sz w:val="20"/>
                <w:szCs w:val="20"/>
              </w:rPr>
            </w:pPr>
            <w:r>
              <w:rPr>
                <w:sz w:val="20"/>
                <w:szCs w:val="20"/>
              </w:rPr>
              <w:t> </w:t>
            </w:r>
          </w:p>
        </w:tc>
        <w:tc>
          <w:tcPr>
            <w:tcW w:w="108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jc w:val="center"/>
              <w:rPr>
                <w:sz w:val="20"/>
                <w:szCs w:val="20"/>
              </w:rPr>
            </w:pPr>
            <w:r>
              <w:rPr>
                <w:sz w:val="20"/>
                <w:szCs w:val="20"/>
              </w:rPr>
              <w:t>5</w:t>
            </w:r>
          </w:p>
          <w:p w:rsidR="004B6F5E" w:rsidRDefault="004B6F5E">
            <w:pPr>
              <w:spacing w:before="100" w:beforeAutospacing="1" w:after="100" w:afterAutospacing="1"/>
              <w:jc w:val="center"/>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jc w:val="center"/>
              <w:rPr>
                <w:sz w:val="20"/>
                <w:szCs w:val="20"/>
              </w:rPr>
            </w:pPr>
            <w:r>
              <w:rPr>
                <w:sz w:val="20"/>
                <w:szCs w:val="20"/>
              </w:rPr>
              <w:t>6</w:t>
            </w:r>
          </w:p>
          <w:p w:rsidR="004B6F5E" w:rsidRDefault="004B6F5E">
            <w:pPr>
              <w:spacing w:before="100" w:beforeAutospacing="1" w:after="100" w:afterAutospacing="1"/>
              <w:jc w:val="center"/>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jc w:val="center"/>
              <w:rPr>
                <w:sz w:val="20"/>
                <w:szCs w:val="20"/>
              </w:rPr>
            </w:pPr>
            <w:r>
              <w:rPr>
                <w:sz w:val="20"/>
                <w:szCs w:val="20"/>
              </w:rPr>
              <w:t>7</w:t>
            </w:r>
          </w:p>
          <w:p w:rsidR="004B6F5E" w:rsidRDefault="004B6F5E">
            <w:pPr>
              <w:spacing w:before="100" w:beforeAutospacing="1" w:after="100" w:afterAutospacing="1"/>
              <w:jc w:val="center"/>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jc w:val="center"/>
              <w:rPr>
                <w:sz w:val="20"/>
                <w:szCs w:val="20"/>
              </w:rPr>
            </w:pPr>
            <w:r>
              <w:rPr>
                <w:sz w:val="20"/>
                <w:szCs w:val="20"/>
              </w:rPr>
              <w:t>8</w:t>
            </w:r>
          </w:p>
          <w:p w:rsidR="004B6F5E" w:rsidRDefault="004B6F5E">
            <w:pPr>
              <w:spacing w:before="100" w:beforeAutospacing="1" w:after="100" w:afterAutospacing="1"/>
              <w:jc w:val="center"/>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jc w:val="center"/>
              <w:rPr>
                <w:sz w:val="20"/>
                <w:szCs w:val="20"/>
              </w:rPr>
            </w:pPr>
            <w:r>
              <w:rPr>
                <w:sz w:val="20"/>
                <w:szCs w:val="20"/>
              </w:rPr>
              <w:t>9</w:t>
            </w:r>
          </w:p>
        </w:tc>
      </w:tr>
      <w:tr w:rsidR="004B6F5E" w:rsidTr="004B6F5E">
        <w:trPr>
          <w:trHeight w:val="60"/>
        </w:trPr>
        <w:tc>
          <w:tcPr>
            <w:tcW w:w="410" w:type="dxa"/>
            <w:tcBorders>
              <w:top w:val="nil"/>
              <w:left w:val="double" w:sz="2" w:space="0" w:color="000000"/>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67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2181" w:type="dxa"/>
            <w:tcBorders>
              <w:top w:val="nil"/>
              <w:left w:val="nil"/>
              <w:bottom w:val="double" w:sz="2" w:space="0" w:color="000000"/>
              <w:right w:val="double" w:sz="2" w:space="0" w:color="000000"/>
            </w:tcBorders>
            <w:tcMar>
              <w:top w:w="45" w:type="dxa"/>
              <w:left w:w="45" w:type="dxa"/>
              <w:bottom w:w="57" w:type="dxa"/>
              <w:right w:w="45" w:type="dxa"/>
            </w:tcMar>
          </w:tcPr>
          <w:p w:rsidR="004B6F5E" w:rsidRDefault="004B6F5E">
            <w:pPr>
              <w:spacing w:before="100" w:beforeAutospacing="1" w:after="100" w:afterAutospacing="1"/>
              <w:rPr>
                <w:sz w:val="20"/>
                <w:szCs w:val="20"/>
              </w:rPr>
            </w:pP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108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r>
      <w:tr w:rsidR="004B6F5E" w:rsidTr="004B6F5E">
        <w:trPr>
          <w:trHeight w:val="60"/>
        </w:trPr>
        <w:tc>
          <w:tcPr>
            <w:tcW w:w="410" w:type="dxa"/>
            <w:tcBorders>
              <w:top w:val="nil"/>
              <w:left w:val="double" w:sz="2" w:space="0" w:color="000000"/>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67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2181" w:type="dxa"/>
            <w:tcBorders>
              <w:top w:val="nil"/>
              <w:left w:val="nil"/>
              <w:bottom w:val="double" w:sz="2" w:space="0" w:color="000000"/>
              <w:right w:val="double" w:sz="2" w:space="0" w:color="000000"/>
            </w:tcBorders>
            <w:tcMar>
              <w:top w:w="45" w:type="dxa"/>
              <w:left w:w="45" w:type="dxa"/>
              <w:bottom w:w="57" w:type="dxa"/>
              <w:right w:w="45" w:type="dxa"/>
            </w:tcMar>
          </w:tcPr>
          <w:p w:rsidR="004B6F5E" w:rsidRDefault="004B6F5E">
            <w:pPr>
              <w:spacing w:before="100" w:beforeAutospacing="1" w:after="100" w:afterAutospacing="1"/>
              <w:rPr>
                <w:sz w:val="20"/>
                <w:szCs w:val="20"/>
              </w:rPr>
            </w:pP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108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r>
      <w:tr w:rsidR="004B6F5E" w:rsidTr="004B6F5E">
        <w:trPr>
          <w:trHeight w:val="60"/>
        </w:trPr>
        <w:tc>
          <w:tcPr>
            <w:tcW w:w="410" w:type="dxa"/>
            <w:tcBorders>
              <w:top w:val="nil"/>
              <w:left w:val="double" w:sz="2" w:space="0" w:color="000000"/>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67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2181" w:type="dxa"/>
            <w:tcBorders>
              <w:top w:val="nil"/>
              <w:left w:val="nil"/>
              <w:bottom w:val="double" w:sz="2" w:space="0" w:color="000000"/>
              <w:right w:val="double" w:sz="2" w:space="0" w:color="000000"/>
            </w:tcBorders>
            <w:tcMar>
              <w:top w:w="45" w:type="dxa"/>
              <w:left w:w="45" w:type="dxa"/>
              <w:bottom w:w="57" w:type="dxa"/>
              <w:right w:w="45" w:type="dxa"/>
            </w:tcMar>
          </w:tcPr>
          <w:p w:rsidR="004B6F5E" w:rsidRDefault="004B6F5E">
            <w:pPr>
              <w:spacing w:before="100" w:beforeAutospacing="1" w:after="100" w:afterAutospacing="1"/>
              <w:rPr>
                <w:sz w:val="20"/>
                <w:szCs w:val="20"/>
              </w:rPr>
            </w:pP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108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r>
      <w:tr w:rsidR="004B6F5E" w:rsidTr="004B6F5E">
        <w:trPr>
          <w:trHeight w:val="60"/>
        </w:trPr>
        <w:tc>
          <w:tcPr>
            <w:tcW w:w="410" w:type="dxa"/>
            <w:tcBorders>
              <w:top w:val="nil"/>
              <w:left w:val="double" w:sz="2" w:space="0" w:color="000000"/>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67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2181" w:type="dxa"/>
            <w:tcBorders>
              <w:top w:val="nil"/>
              <w:left w:val="nil"/>
              <w:bottom w:val="double" w:sz="2" w:space="0" w:color="000000"/>
              <w:right w:val="double" w:sz="2" w:space="0" w:color="000000"/>
            </w:tcBorders>
            <w:tcMar>
              <w:top w:w="45" w:type="dxa"/>
              <w:left w:w="45" w:type="dxa"/>
              <w:bottom w:w="57" w:type="dxa"/>
              <w:right w:w="45" w:type="dxa"/>
            </w:tcMar>
          </w:tcPr>
          <w:p w:rsidR="004B6F5E" w:rsidRDefault="004B6F5E">
            <w:pPr>
              <w:spacing w:before="100" w:beforeAutospacing="1" w:after="100" w:afterAutospacing="1"/>
              <w:rPr>
                <w:sz w:val="20"/>
                <w:szCs w:val="20"/>
              </w:rPr>
            </w:pP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108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z w:val="20"/>
                <w:szCs w:val="20"/>
              </w:rPr>
              <w:t> </w:t>
            </w:r>
          </w:p>
          <w:p w:rsidR="004B6F5E" w:rsidRDefault="004B6F5E">
            <w:pPr>
              <w:spacing w:before="100" w:beforeAutospacing="1" w:after="100" w:afterAutospacing="1"/>
              <w:rPr>
                <w:sz w:val="20"/>
                <w:szCs w:val="20"/>
              </w:rPr>
            </w:pPr>
            <w:r>
              <w:rPr>
                <w:sz w:val="20"/>
                <w:szCs w:val="20"/>
              </w:rPr>
              <w:t> </w:t>
            </w:r>
          </w:p>
        </w:tc>
      </w:tr>
    </w:tbl>
    <w:p w:rsidR="004B6F5E" w:rsidRDefault="004B6F5E" w:rsidP="004B6F5E">
      <w:r>
        <w:rPr>
          <w:lang w:val="en-GB"/>
        </w:rPr>
        <w:br w:type="textWrapping" w:clear="all"/>
        <w:t> </w:t>
      </w:r>
    </w:p>
    <w:p w:rsidR="004B6F5E" w:rsidRDefault="004B6F5E" w:rsidP="004B6F5E">
      <w:r>
        <w:rPr>
          <w:rFonts w:eastAsia="Times New Roman"/>
        </w:rPr>
        <w:br w:type="page"/>
      </w:r>
    </w:p>
    <w:p w:rsidR="004B6F5E" w:rsidRDefault="004B6F5E" w:rsidP="004B6F5E">
      <w:pPr>
        <w:spacing w:before="100" w:beforeAutospacing="1" w:after="100" w:afterAutospacing="1"/>
      </w:pPr>
      <w:r>
        <w:rPr>
          <w:sz w:val="27"/>
          <w:szCs w:val="27"/>
        </w:rPr>
        <w:lastRenderedPageBreak/>
        <w:t>Obrazac broj 5 (297 × 210 mm)</w:t>
      </w:r>
      <w:r>
        <w:rPr>
          <w:sz w:val="27"/>
          <w:szCs w:val="27"/>
        </w:rPr>
        <w:br/>
      </w:r>
      <w:r>
        <w:rPr>
          <w:sz w:val="27"/>
          <w:szCs w:val="27"/>
        </w:rPr>
        <w:br/>
      </w:r>
      <w:r>
        <w:br/>
        <w:t>Ministarstvo pravosuđa</w:t>
      </w:r>
    </w:p>
    <w:p w:rsidR="004B6F5E" w:rsidRDefault="004B6F5E" w:rsidP="004B6F5E">
      <w:pPr>
        <w:spacing w:before="100" w:beforeAutospacing="1" w:after="100" w:afterAutospacing="1"/>
      </w:pPr>
      <w:r>
        <w:t xml:space="preserve">POPIS STALNIH SUDSKIH TUMAČA IZ DRŽAVA ČLANICA EUROPSKE UNIJE </w:t>
      </w:r>
      <w:smartTag w:uri="urn:schemas-microsoft-com:office:smarttags" w:element="place">
        <w:r>
          <w:t>ILI</w:t>
        </w:r>
      </w:smartTag>
      <w:r>
        <w:t xml:space="preserve"> DRŽAVA POTPISNICA SPORAZUMA O EUROPSKOM GOSPODARSKOM PROSTORU</w:t>
      </w:r>
    </w:p>
    <w:p w:rsidR="004B6F5E" w:rsidRDefault="004B6F5E" w:rsidP="004B6F5E">
      <w:pPr>
        <w:spacing w:before="100" w:beforeAutospacing="1" w:after="100" w:afterAutospacing="1"/>
      </w:pPr>
    </w:p>
    <w:tbl>
      <w:tblPr>
        <w:tblW w:w="8834" w:type="dxa"/>
        <w:tblInd w:w="5" w:type="dxa"/>
        <w:tblCellMar>
          <w:left w:w="0" w:type="dxa"/>
          <w:right w:w="0" w:type="dxa"/>
        </w:tblCellMar>
        <w:tblLook w:val="04A0" w:firstRow="1" w:lastRow="0" w:firstColumn="1" w:lastColumn="0" w:noHBand="0" w:noVBand="1"/>
      </w:tblPr>
      <w:tblGrid>
        <w:gridCol w:w="543"/>
        <w:gridCol w:w="744"/>
        <w:gridCol w:w="1236"/>
        <w:gridCol w:w="720"/>
        <w:gridCol w:w="900"/>
        <w:gridCol w:w="1247"/>
        <w:gridCol w:w="1284"/>
        <w:gridCol w:w="1260"/>
        <w:gridCol w:w="900"/>
      </w:tblGrid>
      <w:tr w:rsidR="004B6F5E" w:rsidTr="004B6F5E">
        <w:trPr>
          <w:trHeight w:val="60"/>
        </w:trPr>
        <w:tc>
          <w:tcPr>
            <w:tcW w:w="543" w:type="dxa"/>
            <w:tcBorders>
              <w:top w:val="double" w:sz="2" w:space="0" w:color="000000"/>
              <w:left w:val="double" w:sz="2" w:space="0" w:color="000000"/>
              <w:bottom w:val="double" w:sz="2" w:space="0" w:color="000000"/>
              <w:right w:val="double" w:sz="2" w:space="0" w:color="000000"/>
            </w:tcBorders>
            <w:vAlign w:val="center"/>
            <w:hideMark/>
          </w:tcPr>
          <w:p w:rsidR="004B6F5E" w:rsidRDefault="004B6F5E">
            <w:pPr>
              <w:spacing w:before="100" w:beforeAutospacing="1" w:after="100" w:afterAutospacing="1"/>
              <w:jc w:val="center"/>
              <w:rPr>
                <w:sz w:val="20"/>
                <w:szCs w:val="20"/>
              </w:rPr>
            </w:pPr>
            <w:r>
              <w:rPr>
                <w:spacing w:val="-4"/>
                <w:sz w:val="18"/>
                <w:szCs w:val="18"/>
              </w:rPr>
              <w:t xml:space="preserve">Red. br. </w:t>
            </w:r>
          </w:p>
          <w:p w:rsidR="004B6F5E" w:rsidRDefault="004B6F5E">
            <w:pPr>
              <w:spacing w:before="100" w:beforeAutospacing="1" w:after="100" w:afterAutospacing="1"/>
              <w:jc w:val="center"/>
              <w:rPr>
                <w:sz w:val="20"/>
                <w:szCs w:val="20"/>
              </w:rPr>
            </w:pPr>
            <w:r>
              <w:rPr>
                <w:sz w:val="20"/>
                <w:szCs w:val="20"/>
              </w:rPr>
              <w:t> </w:t>
            </w:r>
          </w:p>
        </w:tc>
        <w:tc>
          <w:tcPr>
            <w:tcW w:w="744" w:type="dxa"/>
            <w:tcBorders>
              <w:top w:val="double" w:sz="2" w:space="0" w:color="000000"/>
              <w:left w:val="nil"/>
              <w:bottom w:val="double" w:sz="2" w:space="0" w:color="000000"/>
              <w:right w:val="double" w:sz="2" w:space="0" w:color="000000"/>
            </w:tcBorders>
            <w:vAlign w:val="center"/>
            <w:hideMark/>
          </w:tcPr>
          <w:p w:rsidR="004B6F5E" w:rsidRDefault="004B6F5E">
            <w:pPr>
              <w:spacing w:before="100" w:beforeAutospacing="1" w:after="100" w:afterAutospacing="1"/>
              <w:jc w:val="center"/>
              <w:rPr>
                <w:sz w:val="20"/>
                <w:szCs w:val="20"/>
              </w:rPr>
            </w:pPr>
            <w:r>
              <w:rPr>
                <w:spacing w:val="-4"/>
                <w:sz w:val="18"/>
                <w:szCs w:val="18"/>
              </w:rPr>
              <w:t xml:space="preserve">Prezime i ime </w:t>
            </w:r>
          </w:p>
          <w:p w:rsidR="004B6F5E" w:rsidRDefault="004B6F5E">
            <w:pPr>
              <w:spacing w:before="100" w:beforeAutospacing="1" w:after="100" w:afterAutospacing="1"/>
              <w:jc w:val="center"/>
              <w:rPr>
                <w:sz w:val="20"/>
                <w:szCs w:val="20"/>
              </w:rPr>
            </w:pPr>
            <w:r>
              <w:rPr>
                <w:sz w:val="20"/>
                <w:szCs w:val="20"/>
              </w:rPr>
              <w:t> </w:t>
            </w:r>
          </w:p>
        </w:tc>
        <w:tc>
          <w:tcPr>
            <w:tcW w:w="1236" w:type="dxa"/>
            <w:tcBorders>
              <w:top w:val="double" w:sz="2" w:space="0" w:color="000000"/>
              <w:left w:val="nil"/>
              <w:bottom w:val="double" w:sz="2" w:space="0" w:color="000000"/>
              <w:right w:val="double" w:sz="2" w:space="0" w:color="000000"/>
            </w:tcBorders>
          </w:tcPr>
          <w:p w:rsidR="004B6F5E" w:rsidRDefault="004B6F5E">
            <w:pPr>
              <w:spacing w:before="100" w:beforeAutospacing="1" w:after="100" w:afterAutospacing="1"/>
              <w:jc w:val="center"/>
              <w:rPr>
                <w:spacing w:val="-4"/>
                <w:sz w:val="18"/>
                <w:szCs w:val="18"/>
              </w:rPr>
            </w:pPr>
          </w:p>
          <w:p w:rsidR="004B6F5E" w:rsidRDefault="004B6F5E">
            <w:pPr>
              <w:spacing w:before="100" w:beforeAutospacing="1" w:after="100" w:afterAutospacing="1"/>
              <w:jc w:val="center"/>
              <w:rPr>
                <w:spacing w:val="-4"/>
                <w:sz w:val="18"/>
                <w:szCs w:val="18"/>
              </w:rPr>
            </w:pPr>
            <w:r>
              <w:rPr>
                <w:spacing w:val="-4"/>
                <w:sz w:val="18"/>
                <w:szCs w:val="18"/>
              </w:rPr>
              <w:t xml:space="preserve">Državljanstvo </w:t>
            </w:r>
          </w:p>
        </w:tc>
        <w:tc>
          <w:tcPr>
            <w:tcW w:w="720" w:type="dxa"/>
            <w:tcBorders>
              <w:top w:val="double" w:sz="2" w:space="0" w:color="000000"/>
              <w:left w:val="nil"/>
              <w:bottom w:val="double" w:sz="2" w:space="0" w:color="000000"/>
              <w:right w:val="double" w:sz="2" w:space="0" w:color="000000"/>
            </w:tcBorders>
            <w:vAlign w:val="center"/>
            <w:hideMark/>
          </w:tcPr>
          <w:p w:rsidR="004B6F5E" w:rsidRDefault="004B6F5E">
            <w:pPr>
              <w:spacing w:before="100" w:beforeAutospacing="1" w:after="100" w:afterAutospacing="1"/>
              <w:jc w:val="center"/>
              <w:rPr>
                <w:sz w:val="20"/>
                <w:szCs w:val="20"/>
              </w:rPr>
            </w:pPr>
            <w:r>
              <w:rPr>
                <w:spacing w:val="-4"/>
                <w:sz w:val="18"/>
                <w:szCs w:val="18"/>
              </w:rPr>
              <w:t xml:space="preserve">Adresa, broj </w:t>
            </w:r>
            <w:r>
              <w:rPr>
                <w:spacing w:val="-4"/>
                <w:sz w:val="18"/>
                <w:szCs w:val="18"/>
              </w:rPr>
              <w:br/>
              <w:t>telefona i e-mail adresa</w:t>
            </w:r>
          </w:p>
          <w:p w:rsidR="004B6F5E" w:rsidRDefault="004B6F5E">
            <w:pPr>
              <w:spacing w:before="100" w:beforeAutospacing="1" w:after="100" w:afterAutospacing="1"/>
              <w:jc w:val="center"/>
              <w:rPr>
                <w:sz w:val="20"/>
                <w:szCs w:val="20"/>
              </w:rPr>
            </w:pPr>
            <w:r>
              <w:rPr>
                <w:sz w:val="20"/>
                <w:szCs w:val="20"/>
              </w:rPr>
              <w:t> </w:t>
            </w:r>
          </w:p>
        </w:tc>
        <w:tc>
          <w:tcPr>
            <w:tcW w:w="900" w:type="dxa"/>
            <w:tcBorders>
              <w:top w:val="double" w:sz="2" w:space="0" w:color="000000"/>
              <w:left w:val="nil"/>
              <w:bottom w:val="double" w:sz="2" w:space="0" w:color="000000"/>
              <w:right w:val="double" w:sz="2" w:space="0" w:color="000000"/>
            </w:tcBorders>
            <w:vAlign w:val="center"/>
            <w:hideMark/>
          </w:tcPr>
          <w:p w:rsidR="004B6F5E" w:rsidRDefault="004B6F5E">
            <w:pPr>
              <w:spacing w:before="100" w:beforeAutospacing="1" w:after="100" w:afterAutospacing="1"/>
              <w:jc w:val="center"/>
              <w:rPr>
                <w:sz w:val="20"/>
                <w:szCs w:val="20"/>
              </w:rPr>
            </w:pPr>
            <w:r>
              <w:rPr>
                <w:spacing w:val="-4"/>
                <w:sz w:val="18"/>
                <w:szCs w:val="18"/>
              </w:rPr>
              <w:t xml:space="preserve">Zanimanje </w:t>
            </w:r>
          </w:p>
          <w:p w:rsidR="004B6F5E" w:rsidRDefault="004B6F5E">
            <w:pPr>
              <w:spacing w:before="100" w:beforeAutospacing="1" w:after="100" w:afterAutospacing="1"/>
              <w:jc w:val="center"/>
              <w:rPr>
                <w:sz w:val="20"/>
                <w:szCs w:val="20"/>
              </w:rPr>
            </w:pPr>
            <w:r>
              <w:rPr>
                <w:sz w:val="20"/>
                <w:szCs w:val="20"/>
              </w:rPr>
              <w:t> </w:t>
            </w:r>
          </w:p>
        </w:tc>
        <w:tc>
          <w:tcPr>
            <w:tcW w:w="1247" w:type="dxa"/>
            <w:tcBorders>
              <w:top w:val="double" w:sz="2" w:space="0" w:color="000000"/>
              <w:left w:val="nil"/>
              <w:bottom w:val="double" w:sz="2" w:space="0" w:color="000000"/>
              <w:right w:val="double" w:sz="2" w:space="0" w:color="000000"/>
            </w:tcBorders>
            <w:vAlign w:val="center"/>
            <w:hideMark/>
          </w:tcPr>
          <w:p w:rsidR="004B6F5E" w:rsidRDefault="004B6F5E">
            <w:pPr>
              <w:spacing w:before="100" w:beforeAutospacing="1" w:after="100" w:afterAutospacing="1"/>
              <w:jc w:val="center"/>
              <w:rPr>
                <w:sz w:val="20"/>
                <w:szCs w:val="20"/>
              </w:rPr>
            </w:pPr>
            <w:r>
              <w:rPr>
                <w:spacing w:val="-4"/>
                <w:sz w:val="18"/>
                <w:szCs w:val="18"/>
              </w:rPr>
              <w:t xml:space="preserve">Jezik za koji je tumač imenovan </w:t>
            </w:r>
          </w:p>
          <w:p w:rsidR="004B6F5E" w:rsidRDefault="004B6F5E">
            <w:pPr>
              <w:spacing w:before="100" w:beforeAutospacing="1" w:after="100" w:afterAutospacing="1"/>
              <w:jc w:val="center"/>
              <w:rPr>
                <w:sz w:val="20"/>
                <w:szCs w:val="20"/>
              </w:rPr>
            </w:pPr>
            <w:r>
              <w:rPr>
                <w:sz w:val="20"/>
                <w:szCs w:val="20"/>
              </w:rPr>
              <w:t> </w:t>
            </w:r>
          </w:p>
        </w:tc>
        <w:tc>
          <w:tcPr>
            <w:tcW w:w="1284" w:type="dxa"/>
            <w:tcBorders>
              <w:top w:val="double" w:sz="2" w:space="0" w:color="000000"/>
              <w:left w:val="nil"/>
              <w:bottom w:val="double" w:sz="2" w:space="0" w:color="000000"/>
              <w:right w:val="double" w:sz="2" w:space="0" w:color="000000"/>
            </w:tcBorders>
            <w:vAlign w:val="center"/>
            <w:hideMark/>
          </w:tcPr>
          <w:p w:rsidR="004B6F5E" w:rsidRDefault="004B6F5E">
            <w:pPr>
              <w:spacing w:before="100" w:beforeAutospacing="1" w:after="100" w:afterAutospacing="1"/>
              <w:jc w:val="center"/>
              <w:rPr>
                <w:sz w:val="20"/>
                <w:szCs w:val="20"/>
              </w:rPr>
            </w:pPr>
            <w:r>
              <w:rPr>
                <w:spacing w:val="-5"/>
                <w:sz w:val="18"/>
                <w:szCs w:val="18"/>
              </w:rPr>
              <w:t xml:space="preserve">Broj i </w:t>
            </w:r>
            <w:r>
              <w:rPr>
                <w:spacing w:val="-5"/>
                <w:sz w:val="18"/>
                <w:szCs w:val="18"/>
              </w:rPr>
              <w:br/>
              <w:t>datum</w:t>
            </w:r>
            <w:r>
              <w:rPr>
                <w:spacing w:val="-5"/>
                <w:sz w:val="18"/>
                <w:szCs w:val="18"/>
              </w:rPr>
              <w:br/>
              <w:t>odluke o</w:t>
            </w:r>
            <w:r>
              <w:rPr>
                <w:spacing w:val="-5"/>
                <w:sz w:val="18"/>
                <w:szCs w:val="18"/>
              </w:rPr>
              <w:br/>
              <w:t xml:space="preserve">imenovanju u matičnoj državi </w:t>
            </w:r>
          </w:p>
          <w:p w:rsidR="004B6F5E" w:rsidRDefault="004B6F5E">
            <w:pPr>
              <w:spacing w:before="100" w:beforeAutospacing="1" w:after="100" w:afterAutospacing="1"/>
              <w:jc w:val="center"/>
              <w:rPr>
                <w:sz w:val="20"/>
                <w:szCs w:val="20"/>
              </w:rPr>
            </w:pPr>
            <w:r>
              <w:rPr>
                <w:sz w:val="20"/>
                <w:szCs w:val="20"/>
              </w:rPr>
              <w:t> </w:t>
            </w:r>
          </w:p>
        </w:tc>
        <w:tc>
          <w:tcPr>
            <w:tcW w:w="1260" w:type="dxa"/>
            <w:tcBorders>
              <w:top w:val="double" w:sz="2" w:space="0" w:color="000000"/>
              <w:left w:val="nil"/>
              <w:bottom w:val="double" w:sz="2" w:space="0" w:color="000000"/>
              <w:right w:val="double" w:sz="2" w:space="0" w:color="000000"/>
            </w:tcBorders>
            <w:tcMar>
              <w:top w:w="45" w:type="dxa"/>
              <w:left w:w="28" w:type="dxa"/>
              <w:bottom w:w="57" w:type="dxa"/>
              <w:right w:w="28" w:type="dxa"/>
            </w:tcMar>
            <w:vAlign w:val="center"/>
            <w:hideMark/>
          </w:tcPr>
          <w:p w:rsidR="004B6F5E" w:rsidRDefault="004B6F5E">
            <w:pPr>
              <w:spacing w:before="100" w:beforeAutospacing="1" w:after="100" w:afterAutospacing="1"/>
              <w:jc w:val="center"/>
              <w:rPr>
                <w:sz w:val="20"/>
                <w:szCs w:val="20"/>
              </w:rPr>
            </w:pPr>
            <w:r>
              <w:rPr>
                <w:spacing w:val="-4"/>
                <w:sz w:val="18"/>
                <w:szCs w:val="18"/>
              </w:rPr>
              <w:t>Broj i</w:t>
            </w:r>
            <w:r>
              <w:rPr>
                <w:spacing w:val="-4"/>
                <w:sz w:val="18"/>
                <w:szCs w:val="18"/>
              </w:rPr>
              <w:br/>
              <w:t>datum</w:t>
            </w:r>
            <w:r>
              <w:rPr>
                <w:spacing w:val="-4"/>
                <w:sz w:val="18"/>
                <w:szCs w:val="18"/>
              </w:rPr>
              <w:br/>
              <w:t>rješenja o</w:t>
            </w:r>
            <w:r>
              <w:rPr>
                <w:spacing w:val="-4"/>
                <w:sz w:val="18"/>
                <w:szCs w:val="18"/>
              </w:rPr>
              <w:br/>
              <w:t xml:space="preserve">upisu u Popis </w:t>
            </w:r>
          </w:p>
          <w:p w:rsidR="004B6F5E" w:rsidRDefault="004B6F5E">
            <w:pPr>
              <w:spacing w:before="100" w:beforeAutospacing="1" w:after="100" w:afterAutospacing="1"/>
              <w:jc w:val="center"/>
              <w:rPr>
                <w:sz w:val="20"/>
                <w:szCs w:val="20"/>
              </w:rPr>
            </w:pPr>
            <w:r>
              <w:rPr>
                <w:sz w:val="20"/>
                <w:szCs w:val="20"/>
              </w:rPr>
              <w:t> </w:t>
            </w:r>
          </w:p>
        </w:tc>
        <w:tc>
          <w:tcPr>
            <w:tcW w:w="900" w:type="dxa"/>
            <w:tcBorders>
              <w:top w:val="double" w:sz="2" w:space="0" w:color="000000"/>
              <w:left w:val="nil"/>
              <w:bottom w:val="double" w:sz="2" w:space="0" w:color="000000"/>
              <w:right w:val="double" w:sz="2" w:space="0" w:color="000000"/>
            </w:tcBorders>
            <w:tcMar>
              <w:top w:w="45" w:type="dxa"/>
              <w:left w:w="17" w:type="dxa"/>
              <w:bottom w:w="57" w:type="dxa"/>
              <w:right w:w="17" w:type="dxa"/>
            </w:tcMar>
            <w:vAlign w:val="center"/>
            <w:hideMark/>
          </w:tcPr>
          <w:p w:rsidR="004B6F5E" w:rsidRDefault="004B6F5E">
            <w:pPr>
              <w:spacing w:before="100" w:beforeAutospacing="1" w:after="100" w:afterAutospacing="1"/>
              <w:jc w:val="center"/>
              <w:rPr>
                <w:sz w:val="20"/>
                <w:szCs w:val="20"/>
              </w:rPr>
            </w:pPr>
            <w:r>
              <w:rPr>
                <w:spacing w:val="-5"/>
                <w:sz w:val="18"/>
                <w:szCs w:val="18"/>
              </w:rPr>
              <w:t xml:space="preserve">Primjedba </w:t>
            </w:r>
          </w:p>
          <w:p w:rsidR="004B6F5E" w:rsidRDefault="004B6F5E">
            <w:pPr>
              <w:spacing w:before="100" w:beforeAutospacing="1" w:after="100" w:afterAutospacing="1"/>
              <w:jc w:val="center"/>
              <w:rPr>
                <w:sz w:val="20"/>
                <w:szCs w:val="20"/>
              </w:rPr>
            </w:pPr>
            <w:r>
              <w:rPr>
                <w:sz w:val="20"/>
                <w:szCs w:val="20"/>
              </w:rPr>
              <w:t> </w:t>
            </w:r>
          </w:p>
        </w:tc>
      </w:tr>
      <w:tr w:rsidR="004B6F5E" w:rsidTr="004B6F5E">
        <w:trPr>
          <w:trHeight w:val="60"/>
        </w:trPr>
        <w:tc>
          <w:tcPr>
            <w:tcW w:w="543" w:type="dxa"/>
            <w:tcBorders>
              <w:top w:val="nil"/>
              <w:left w:val="double" w:sz="2" w:space="0" w:color="000000"/>
              <w:bottom w:val="double" w:sz="2" w:space="0" w:color="000000"/>
              <w:right w:val="double" w:sz="2" w:space="0" w:color="000000"/>
            </w:tcBorders>
            <w:tcMar>
              <w:top w:w="45" w:type="dxa"/>
              <w:left w:w="45" w:type="dxa"/>
              <w:bottom w:w="57" w:type="dxa"/>
              <w:right w:w="45" w:type="dxa"/>
            </w:tcMar>
            <w:vAlign w:val="center"/>
            <w:hideMark/>
          </w:tcPr>
          <w:p w:rsidR="004B6F5E" w:rsidRDefault="004B6F5E">
            <w:pPr>
              <w:spacing w:before="100" w:beforeAutospacing="1" w:after="100" w:afterAutospacing="1"/>
              <w:jc w:val="center"/>
              <w:rPr>
                <w:sz w:val="20"/>
                <w:szCs w:val="20"/>
              </w:rPr>
            </w:pPr>
            <w:r>
              <w:rPr>
                <w:spacing w:val="-4"/>
                <w:sz w:val="18"/>
                <w:szCs w:val="18"/>
              </w:rPr>
              <w:t>1</w:t>
            </w:r>
          </w:p>
          <w:p w:rsidR="004B6F5E" w:rsidRDefault="004B6F5E">
            <w:pPr>
              <w:spacing w:before="100" w:beforeAutospacing="1" w:after="100" w:afterAutospacing="1"/>
              <w:jc w:val="center"/>
              <w:rPr>
                <w:sz w:val="20"/>
                <w:szCs w:val="20"/>
              </w:rPr>
            </w:pPr>
            <w:r>
              <w:rPr>
                <w:sz w:val="20"/>
                <w:szCs w:val="20"/>
              </w:rPr>
              <w:t> </w:t>
            </w:r>
          </w:p>
        </w:tc>
        <w:tc>
          <w:tcPr>
            <w:tcW w:w="744" w:type="dxa"/>
            <w:tcBorders>
              <w:top w:val="nil"/>
              <w:left w:val="nil"/>
              <w:bottom w:val="double" w:sz="2" w:space="0" w:color="000000"/>
              <w:right w:val="double" w:sz="2" w:space="0" w:color="000000"/>
            </w:tcBorders>
            <w:tcMar>
              <w:top w:w="45" w:type="dxa"/>
              <w:left w:w="45" w:type="dxa"/>
              <w:bottom w:w="57" w:type="dxa"/>
              <w:right w:w="45" w:type="dxa"/>
            </w:tcMar>
            <w:vAlign w:val="center"/>
            <w:hideMark/>
          </w:tcPr>
          <w:p w:rsidR="004B6F5E" w:rsidRDefault="004B6F5E">
            <w:pPr>
              <w:spacing w:before="100" w:beforeAutospacing="1" w:after="100" w:afterAutospacing="1"/>
              <w:jc w:val="center"/>
              <w:rPr>
                <w:sz w:val="20"/>
                <w:szCs w:val="20"/>
              </w:rPr>
            </w:pPr>
            <w:r>
              <w:rPr>
                <w:spacing w:val="-4"/>
                <w:sz w:val="18"/>
                <w:szCs w:val="18"/>
              </w:rPr>
              <w:t>2</w:t>
            </w:r>
          </w:p>
          <w:p w:rsidR="004B6F5E" w:rsidRDefault="004B6F5E">
            <w:pPr>
              <w:spacing w:before="100" w:beforeAutospacing="1" w:after="100" w:afterAutospacing="1"/>
              <w:jc w:val="center"/>
              <w:rPr>
                <w:sz w:val="20"/>
                <w:szCs w:val="20"/>
              </w:rPr>
            </w:pPr>
            <w:r>
              <w:rPr>
                <w:sz w:val="20"/>
                <w:szCs w:val="20"/>
              </w:rPr>
              <w:t> </w:t>
            </w:r>
          </w:p>
        </w:tc>
        <w:tc>
          <w:tcPr>
            <w:tcW w:w="1236" w:type="dxa"/>
            <w:tcBorders>
              <w:top w:val="nil"/>
              <w:left w:val="nil"/>
              <w:bottom w:val="double" w:sz="2" w:space="0" w:color="000000"/>
              <w:right w:val="double" w:sz="2" w:space="0" w:color="000000"/>
            </w:tcBorders>
            <w:tcMar>
              <w:top w:w="45" w:type="dxa"/>
              <w:left w:w="45" w:type="dxa"/>
              <w:bottom w:w="57" w:type="dxa"/>
              <w:right w:w="45" w:type="dxa"/>
            </w:tcMar>
            <w:vAlign w:val="center"/>
            <w:hideMark/>
          </w:tcPr>
          <w:p w:rsidR="004B6F5E" w:rsidRDefault="004B6F5E">
            <w:pPr>
              <w:spacing w:before="100" w:beforeAutospacing="1" w:after="100" w:afterAutospacing="1"/>
              <w:jc w:val="center"/>
              <w:rPr>
                <w:sz w:val="20"/>
                <w:szCs w:val="20"/>
              </w:rPr>
            </w:pPr>
            <w:r>
              <w:rPr>
                <w:spacing w:val="-4"/>
                <w:sz w:val="18"/>
                <w:szCs w:val="18"/>
              </w:rPr>
              <w:t>3</w:t>
            </w:r>
          </w:p>
          <w:p w:rsidR="004B6F5E" w:rsidRDefault="004B6F5E">
            <w:pPr>
              <w:spacing w:before="100" w:beforeAutospacing="1" w:after="100" w:afterAutospacing="1"/>
              <w:jc w:val="center"/>
              <w:rPr>
                <w:sz w:val="20"/>
                <w:szCs w:val="20"/>
              </w:rPr>
            </w:pPr>
            <w:r>
              <w:rPr>
                <w:sz w:val="20"/>
                <w:szCs w:val="20"/>
              </w:rPr>
              <w:t> </w:t>
            </w:r>
          </w:p>
        </w:tc>
        <w:tc>
          <w:tcPr>
            <w:tcW w:w="720" w:type="dxa"/>
            <w:tcBorders>
              <w:top w:val="nil"/>
              <w:left w:val="nil"/>
              <w:bottom w:val="double" w:sz="2" w:space="0" w:color="000000"/>
              <w:right w:val="double" w:sz="2" w:space="0" w:color="000000"/>
            </w:tcBorders>
            <w:tcMar>
              <w:top w:w="45" w:type="dxa"/>
              <w:left w:w="45" w:type="dxa"/>
              <w:bottom w:w="57" w:type="dxa"/>
              <w:right w:w="45" w:type="dxa"/>
            </w:tcMar>
            <w:vAlign w:val="center"/>
            <w:hideMark/>
          </w:tcPr>
          <w:p w:rsidR="004B6F5E" w:rsidRDefault="004B6F5E">
            <w:pPr>
              <w:spacing w:before="100" w:beforeAutospacing="1" w:after="100" w:afterAutospacing="1"/>
              <w:jc w:val="center"/>
              <w:rPr>
                <w:sz w:val="20"/>
                <w:szCs w:val="20"/>
              </w:rPr>
            </w:pPr>
            <w:r>
              <w:rPr>
                <w:spacing w:val="-4"/>
                <w:sz w:val="18"/>
                <w:szCs w:val="18"/>
              </w:rPr>
              <w:t>4</w:t>
            </w:r>
          </w:p>
          <w:p w:rsidR="004B6F5E" w:rsidRDefault="004B6F5E">
            <w:pPr>
              <w:spacing w:before="100" w:beforeAutospacing="1" w:after="100" w:afterAutospacing="1"/>
              <w:jc w:val="center"/>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vAlign w:val="center"/>
            <w:hideMark/>
          </w:tcPr>
          <w:p w:rsidR="004B6F5E" w:rsidRDefault="004B6F5E">
            <w:pPr>
              <w:spacing w:before="100" w:beforeAutospacing="1" w:after="100" w:afterAutospacing="1"/>
              <w:jc w:val="center"/>
              <w:rPr>
                <w:sz w:val="20"/>
                <w:szCs w:val="20"/>
              </w:rPr>
            </w:pPr>
            <w:r>
              <w:rPr>
                <w:spacing w:val="-4"/>
                <w:sz w:val="18"/>
                <w:szCs w:val="18"/>
              </w:rPr>
              <w:t>5</w:t>
            </w:r>
          </w:p>
          <w:p w:rsidR="004B6F5E" w:rsidRDefault="004B6F5E">
            <w:pPr>
              <w:spacing w:before="100" w:beforeAutospacing="1" w:after="100" w:afterAutospacing="1"/>
              <w:jc w:val="center"/>
              <w:rPr>
                <w:sz w:val="20"/>
                <w:szCs w:val="20"/>
              </w:rPr>
            </w:pPr>
            <w:r>
              <w:rPr>
                <w:sz w:val="20"/>
                <w:szCs w:val="20"/>
              </w:rPr>
              <w:t> </w:t>
            </w:r>
          </w:p>
        </w:tc>
        <w:tc>
          <w:tcPr>
            <w:tcW w:w="1247" w:type="dxa"/>
            <w:tcBorders>
              <w:top w:val="nil"/>
              <w:left w:val="nil"/>
              <w:bottom w:val="double" w:sz="2" w:space="0" w:color="000000"/>
              <w:right w:val="double" w:sz="2" w:space="0" w:color="000000"/>
            </w:tcBorders>
            <w:tcMar>
              <w:top w:w="45" w:type="dxa"/>
              <w:left w:w="45" w:type="dxa"/>
              <w:bottom w:w="57" w:type="dxa"/>
              <w:right w:w="45" w:type="dxa"/>
            </w:tcMar>
            <w:vAlign w:val="center"/>
            <w:hideMark/>
          </w:tcPr>
          <w:p w:rsidR="004B6F5E" w:rsidRDefault="004B6F5E">
            <w:pPr>
              <w:spacing w:before="100" w:beforeAutospacing="1" w:after="100" w:afterAutospacing="1"/>
              <w:jc w:val="center"/>
              <w:rPr>
                <w:sz w:val="20"/>
                <w:szCs w:val="20"/>
              </w:rPr>
            </w:pPr>
            <w:r>
              <w:rPr>
                <w:spacing w:val="-4"/>
                <w:sz w:val="18"/>
                <w:szCs w:val="18"/>
              </w:rPr>
              <w:t>6</w:t>
            </w:r>
          </w:p>
          <w:p w:rsidR="004B6F5E" w:rsidRDefault="004B6F5E">
            <w:pPr>
              <w:spacing w:before="100" w:beforeAutospacing="1" w:after="100" w:afterAutospacing="1"/>
              <w:jc w:val="center"/>
              <w:rPr>
                <w:sz w:val="20"/>
                <w:szCs w:val="20"/>
              </w:rPr>
            </w:pPr>
            <w:r>
              <w:rPr>
                <w:sz w:val="20"/>
                <w:szCs w:val="20"/>
              </w:rPr>
              <w:t> </w:t>
            </w:r>
          </w:p>
        </w:tc>
        <w:tc>
          <w:tcPr>
            <w:tcW w:w="1284" w:type="dxa"/>
            <w:tcBorders>
              <w:top w:val="nil"/>
              <w:left w:val="nil"/>
              <w:bottom w:val="double" w:sz="2" w:space="0" w:color="000000"/>
              <w:right w:val="double" w:sz="2" w:space="0" w:color="000000"/>
            </w:tcBorders>
            <w:tcMar>
              <w:top w:w="45" w:type="dxa"/>
              <w:left w:w="45" w:type="dxa"/>
              <w:bottom w:w="57" w:type="dxa"/>
              <w:right w:w="45" w:type="dxa"/>
            </w:tcMar>
            <w:vAlign w:val="center"/>
            <w:hideMark/>
          </w:tcPr>
          <w:p w:rsidR="004B6F5E" w:rsidRDefault="004B6F5E">
            <w:pPr>
              <w:spacing w:before="100" w:beforeAutospacing="1" w:after="100" w:afterAutospacing="1"/>
              <w:jc w:val="center"/>
              <w:rPr>
                <w:sz w:val="20"/>
                <w:szCs w:val="20"/>
              </w:rPr>
            </w:pPr>
            <w:r>
              <w:rPr>
                <w:spacing w:val="-4"/>
                <w:sz w:val="18"/>
                <w:szCs w:val="18"/>
              </w:rPr>
              <w:t>7</w:t>
            </w:r>
          </w:p>
          <w:p w:rsidR="004B6F5E" w:rsidRDefault="004B6F5E">
            <w:pPr>
              <w:spacing w:before="100" w:beforeAutospacing="1" w:after="100" w:afterAutospacing="1"/>
              <w:jc w:val="center"/>
              <w:rPr>
                <w:sz w:val="20"/>
                <w:szCs w:val="20"/>
              </w:rPr>
            </w:pPr>
            <w:r>
              <w:rPr>
                <w:sz w:val="20"/>
                <w:szCs w:val="20"/>
              </w:rPr>
              <w:t> </w:t>
            </w:r>
          </w:p>
        </w:tc>
        <w:tc>
          <w:tcPr>
            <w:tcW w:w="1260" w:type="dxa"/>
            <w:tcBorders>
              <w:top w:val="nil"/>
              <w:left w:val="nil"/>
              <w:bottom w:val="double" w:sz="2" w:space="0" w:color="000000"/>
              <w:right w:val="double" w:sz="2" w:space="0" w:color="000000"/>
            </w:tcBorders>
            <w:tcMar>
              <w:top w:w="45" w:type="dxa"/>
              <w:left w:w="45" w:type="dxa"/>
              <w:bottom w:w="57" w:type="dxa"/>
              <w:right w:w="45" w:type="dxa"/>
            </w:tcMar>
            <w:vAlign w:val="center"/>
            <w:hideMark/>
          </w:tcPr>
          <w:p w:rsidR="004B6F5E" w:rsidRDefault="004B6F5E">
            <w:pPr>
              <w:spacing w:before="100" w:beforeAutospacing="1" w:after="100" w:afterAutospacing="1"/>
              <w:jc w:val="center"/>
              <w:rPr>
                <w:sz w:val="20"/>
                <w:szCs w:val="20"/>
              </w:rPr>
            </w:pPr>
            <w:r>
              <w:rPr>
                <w:spacing w:val="-4"/>
                <w:sz w:val="18"/>
                <w:szCs w:val="18"/>
              </w:rPr>
              <w:t>8</w:t>
            </w:r>
          </w:p>
          <w:p w:rsidR="004B6F5E" w:rsidRDefault="004B6F5E">
            <w:pPr>
              <w:spacing w:before="100" w:beforeAutospacing="1" w:after="100" w:afterAutospacing="1"/>
              <w:jc w:val="center"/>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jc w:val="center"/>
              <w:rPr>
                <w:sz w:val="20"/>
                <w:szCs w:val="20"/>
              </w:rPr>
            </w:pPr>
            <w:r>
              <w:rPr>
                <w:sz w:val="20"/>
                <w:szCs w:val="20"/>
              </w:rPr>
              <w:t>9</w:t>
            </w:r>
          </w:p>
        </w:tc>
      </w:tr>
      <w:tr w:rsidR="004B6F5E" w:rsidTr="004B6F5E">
        <w:trPr>
          <w:trHeight w:val="60"/>
        </w:trPr>
        <w:tc>
          <w:tcPr>
            <w:tcW w:w="543" w:type="dxa"/>
            <w:tcBorders>
              <w:top w:val="nil"/>
              <w:left w:val="double" w:sz="2" w:space="0" w:color="000000"/>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744"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1236" w:type="dxa"/>
            <w:tcBorders>
              <w:top w:val="nil"/>
              <w:left w:val="nil"/>
              <w:bottom w:val="double" w:sz="2" w:space="0" w:color="000000"/>
              <w:right w:val="double" w:sz="2" w:space="0" w:color="000000"/>
            </w:tcBorders>
            <w:tcMar>
              <w:top w:w="45" w:type="dxa"/>
              <w:left w:w="45" w:type="dxa"/>
              <w:bottom w:w="57" w:type="dxa"/>
              <w:right w:w="45" w:type="dxa"/>
            </w:tcMar>
          </w:tcPr>
          <w:p w:rsidR="004B6F5E" w:rsidRDefault="004B6F5E">
            <w:pPr>
              <w:spacing w:before="100" w:beforeAutospacing="1" w:after="100" w:afterAutospacing="1"/>
              <w:rPr>
                <w:spacing w:val="-4"/>
                <w:sz w:val="18"/>
                <w:szCs w:val="18"/>
              </w:rPr>
            </w:pPr>
          </w:p>
        </w:tc>
        <w:tc>
          <w:tcPr>
            <w:tcW w:w="72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1247"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1284"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126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r>
      <w:tr w:rsidR="004B6F5E" w:rsidTr="004B6F5E">
        <w:trPr>
          <w:trHeight w:val="60"/>
        </w:trPr>
        <w:tc>
          <w:tcPr>
            <w:tcW w:w="543" w:type="dxa"/>
            <w:tcBorders>
              <w:top w:val="nil"/>
              <w:left w:val="double" w:sz="2" w:space="0" w:color="000000"/>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744"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1236" w:type="dxa"/>
            <w:tcBorders>
              <w:top w:val="nil"/>
              <w:left w:val="nil"/>
              <w:bottom w:val="double" w:sz="2" w:space="0" w:color="000000"/>
              <w:right w:val="double" w:sz="2" w:space="0" w:color="000000"/>
            </w:tcBorders>
            <w:tcMar>
              <w:top w:w="45" w:type="dxa"/>
              <w:left w:w="45" w:type="dxa"/>
              <w:bottom w:w="57" w:type="dxa"/>
              <w:right w:w="45" w:type="dxa"/>
            </w:tcMar>
          </w:tcPr>
          <w:p w:rsidR="004B6F5E" w:rsidRDefault="004B6F5E">
            <w:pPr>
              <w:spacing w:before="100" w:beforeAutospacing="1" w:after="100" w:afterAutospacing="1"/>
              <w:rPr>
                <w:spacing w:val="-4"/>
                <w:sz w:val="18"/>
                <w:szCs w:val="18"/>
              </w:rPr>
            </w:pPr>
          </w:p>
        </w:tc>
        <w:tc>
          <w:tcPr>
            <w:tcW w:w="72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1247"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1284"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126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r>
      <w:tr w:rsidR="004B6F5E" w:rsidTr="004B6F5E">
        <w:trPr>
          <w:trHeight w:val="60"/>
        </w:trPr>
        <w:tc>
          <w:tcPr>
            <w:tcW w:w="543" w:type="dxa"/>
            <w:tcBorders>
              <w:top w:val="nil"/>
              <w:left w:val="double" w:sz="2" w:space="0" w:color="000000"/>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744"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1236" w:type="dxa"/>
            <w:tcBorders>
              <w:top w:val="nil"/>
              <w:left w:val="nil"/>
              <w:bottom w:val="double" w:sz="2" w:space="0" w:color="000000"/>
              <w:right w:val="double" w:sz="2" w:space="0" w:color="000000"/>
            </w:tcBorders>
            <w:tcMar>
              <w:top w:w="45" w:type="dxa"/>
              <w:left w:w="45" w:type="dxa"/>
              <w:bottom w:w="57" w:type="dxa"/>
              <w:right w:w="45" w:type="dxa"/>
            </w:tcMar>
          </w:tcPr>
          <w:p w:rsidR="004B6F5E" w:rsidRDefault="004B6F5E">
            <w:pPr>
              <w:spacing w:before="100" w:beforeAutospacing="1" w:after="100" w:afterAutospacing="1"/>
              <w:rPr>
                <w:spacing w:val="-4"/>
                <w:sz w:val="18"/>
                <w:szCs w:val="18"/>
              </w:rPr>
            </w:pPr>
          </w:p>
        </w:tc>
        <w:tc>
          <w:tcPr>
            <w:tcW w:w="72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1247"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1284"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126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r>
      <w:tr w:rsidR="004B6F5E" w:rsidTr="004B6F5E">
        <w:trPr>
          <w:trHeight w:val="60"/>
        </w:trPr>
        <w:tc>
          <w:tcPr>
            <w:tcW w:w="543" w:type="dxa"/>
            <w:tcBorders>
              <w:top w:val="nil"/>
              <w:left w:val="double" w:sz="2" w:space="0" w:color="000000"/>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744"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1236" w:type="dxa"/>
            <w:tcBorders>
              <w:top w:val="nil"/>
              <w:left w:val="nil"/>
              <w:bottom w:val="double" w:sz="2" w:space="0" w:color="000000"/>
              <w:right w:val="double" w:sz="2" w:space="0" w:color="000000"/>
            </w:tcBorders>
            <w:tcMar>
              <w:top w:w="45" w:type="dxa"/>
              <w:left w:w="45" w:type="dxa"/>
              <w:bottom w:w="57" w:type="dxa"/>
              <w:right w:w="45" w:type="dxa"/>
            </w:tcMar>
          </w:tcPr>
          <w:p w:rsidR="004B6F5E" w:rsidRDefault="004B6F5E">
            <w:pPr>
              <w:spacing w:before="100" w:beforeAutospacing="1" w:after="100" w:afterAutospacing="1"/>
              <w:rPr>
                <w:spacing w:val="-4"/>
                <w:sz w:val="18"/>
                <w:szCs w:val="18"/>
              </w:rPr>
            </w:pPr>
          </w:p>
        </w:tc>
        <w:tc>
          <w:tcPr>
            <w:tcW w:w="72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1247"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1284"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126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c>
          <w:tcPr>
            <w:tcW w:w="900" w:type="dxa"/>
            <w:tcBorders>
              <w:top w:val="nil"/>
              <w:left w:val="nil"/>
              <w:bottom w:val="double" w:sz="2" w:space="0" w:color="000000"/>
              <w:right w:val="double" w:sz="2" w:space="0" w:color="000000"/>
            </w:tcBorders>
            <w:tcMar>
              <w:top w:w="45" w:type="dxa"/>
              <w:left w:w="45" w:type="dxa"/>
              <w:bottom w:w="57" w:type="dxa"/>
              <w:right w:w="45" w:type="dxa"/>
            </w:tcMar>
            <w:hideMark/>
          </w:tcPr>
          <w:p w:rsidR="004B6F5E" w:rsidRDefault="004B6F5E">
            <w:pPr>
              <w:spacing w:before="100" w:beforeAutospacing="1" w:after="100" w:afterAutospacing="1"/>
              <w:rPr>
                <w:sz w:val="20"/>
                <w:szCs w:val="20"/>
              </w:rPr>
            </w:pPr>
            <w:r>
              <w:rPr>
                <w:spacing w:val="-4"/>
                <w:sz w:val="18"/>
                <w:szCs w:val="18"/>
              </w:rPr>
              <w:t> </w:t>
            </w:r>
          </w:p>
          <w:p w:rsidR="004B6F5E" w:rsidRDefault="004B6F5E">
            <w:pPr>
              <w:spacing w:before="100" w:beforeAutospacing="1" w:after="100" w:afterAutospacing="1"/>
              <w:rPr>
                <w:sz w:val="20"/>
                <w:szCs w:val="20"/>
              </w:rPr>
            </w:pPr>
            <w:r>
              <w:rPr>
                <w:sz w:val="20"/>
                <w:szCs w:val="20"/>
              </w:rPr>
              <w:t> </w:t>
            </w:r>
          </w:p>
        </w:tc>
      </w:tr>
    </w:tbl>
    <w:p w:rsidR="004B6F5E" w:rsidRDefault="004B6F5E" w:rsidP="004B6F5E"/>
    <w:p w:rsidR="004B6F5E" w:rsidRDefault="004B6F5E" w:rsidP="004B6F5E"/>
    <w:p w:rsidR="00AC623D" w:rsidRDefault="00AC623D"/>
    <w:sectPr w:rsidR="00AC6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554F"/>
    <w:multiLevelType w:val="hybridMultilevel"/>
    <w:tmpl w:val="B1C6860C"/>
    <w:lvl w:ilvl="0" w:tplc="434AF7A4">
      <w:start w:val="1"/>
      <w:numFmt w:val="bullet"/>
      <w:lvlText w:val=""/>
      <w:lvlJc w:val="left"/>
      <w:pPr>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23BF0401"/>
    <w:multiLevelType w:val="hybridMultilevel"/>
    <w:tmpl w:val="87FAEBCE"/>
    <w:lvl w:ilvl="0" w:tplc="041A000F">
      <w:start w:val="1"/>
      <w:numFmt w:val="decimal"/>
      <w:lvlText w:val="%1."/>
      <w:lvlJc w:val="left"/>
      <w:pPr>
        <w:ind w:left="108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32D60A3F"/>
    <w:multiLevelType w:val="hybridMultilevel"/>
    <w:tmpl w:val="3DD462A4"/>
    <w:lvl w:ilvl="0" w:tplc="6628A8C6">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nsid w:val="6F6E198C"/>
    <w:multiLevelType w:val="hybridMultilevel"/>
    <w:tmpl w:val="468CFAB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5E"/>
    <w:rsid w:val="000018A8"/>
    <w:rsid w:val="00002D73"/>
    <w:rsid w:val="00003DB3"/>
    <w:rsid w:val="000055D1"/>
    <w:rsid w:val="00006958"/>
    <w:rsid w:val="000118FA"/>
    <w:rsid w:val="00012676"/>
    <w:rsid w:val="0001383C"/>
    <w:rsid w:val="00016745"/>
    <w:rsid w:val="000325D4"/>
    <w:rsid w:val="0003359E"/>
    <w:rsid w:val="0003545F"/>
    <w:rsid w:val="00037C83"/>
    <w:rsid w:val="00040079"/>
    <w:rsid w:val="0004696F"/>
    <w:rsid w:val="00047378"/>
    <w:rsid w:val="00052198"/>
    <w:rsid w:val="00057561"/>
    <w:rsid w:val="00061654"/>
    <w:rsid w:val="0006735F"/>
    <w:rsid w:val="0007092E"/>
    <w:rsid w:val="00072E69"/>
    <w:rsid w:val="0007771E"/>
    <w:rsid w:val="000804EE"/>
    <w:rsid w:val="00085DCC"/>
    <w:rsid w:val="00087554"/>
    <w:rsid w:val="00087802"/>
    <w:rsid w:val="0008785D"/>
    <w:rsid w:val="0009084A"/>
    <w:rsid w:val="000B76D0"/>
    <w:rsid w:val="000C125B"/>
    <w:rsid w:val="000C6582"/>
    <w:rsid w:val="000D025A"/>
    <w:rsid w:val="000E04F7"/>
    <w:rsid w:val="000E6197"/>
    <w:rsid w:val="000F5C7F"/>
    <w:rsid w:val="000F7181"/>
    <w:rsid w:val="00100B87"/>
    <w:rsid w:val="00102458"/>
    <w:rsid w:val="00103D03"/>
    <w:rsid w:val="001042BE"/>
    <w:rsid w:val="00107563"/>
    <w:rsid w:val="00111102"/>
    <w:rsid w:val="001123CA"/>
    <w:rsid w:val="001124BA"/>
    <w:rsid w:val="00114AF8"/>
    <w:rsid w:val="0011716C"/>
    <w:rsid w:val="00124F15"/>
    <w:rsid w:val="00125601"/>
    <w:rsid w:val="00130022"/>
    <w:rsid w:val="0013012E"/>
    <w:rsid w:val="00132C60"/>
    <w:rsid w:val="001412A8"/>
    <w:rsid w:val="00145773"/>
    <w:rsid w:val="00146461"/>
    <w:rsid w:val="00150B6D"/>
    <w:rsid w:val="00166FD3"/>
    <w:rsid w:val="001732E3"/>
    <w:rsid w:val="00174644"/>
    <w:rsid w:val="00175526"/>
    <w:rsid w:val="00175B53"/>
    <w:rsid w:val="00180608"/>
    <w:rsid w:val="00184367"/>
    <w:rsid w:val="00184F19"/>
    <w:rsid w:val="0018510C"/>
    <w:rsid w:val="00185C2B"/>
    <w:rsid w:val="00187417"/>
    <w:rsid w:val="00190AEF"/>
    <w:rsid w:val="00191AB1"/>
    <w:rsid w:val="001923FF"/>
    <w:rsid w:val="001A048B"/>
    <w:rsid w:val="001A15D0"/>
    <w:rsid w:val="001A7A11"/>
    <w:rsid w:val="001B208F"/>
    <w:rsid w:val="001C506A"/>
    <w:rsid w:val="001C65FF"/>
    <w:rsid w:val="001D2C93"/>
    <w:rsid w:val="001D49DC"/>
    <w:rsid w:val="001E1491"/>
    <w:rsid w:val="001E40DF"/>
    <w:rsid w:val="001E6984"/>
    <w:rsid w:val="001E6F51"/>
    <w:rsid w:val="001F1AF1"/>
    <w:rsid w:val="001F35A8"/>
    <w:rsid w:val="001F4272"/>
    <w:rsid w:val="001F4753"/>
    <w:rsid w:val="00204E74"/>
    <w:rsid w:val="00210FD2"/>
    <w:rsid w:val="00210FF7"/>
    <w:rsid w:val="00214575"/>
    <w:rsid w:val="00214796"/>
    <w:rsid w:val="00222CB9"/>
    <w:rsid w:val="00223A4A"/>
    <w:rsid w:val="002378F1"/>
    <w:rsid w:val="00237B59"/>
    <w:rsid w:val="00241A28"/>
    <w:rsid w:val="00242650"/>
    <w:rsid w:val="002449C4"/>
    <w:rsid w:val="00245AF2"/>
    <w:rsid w:val="00245BF7"/>
    <w:rsid w:val="002531DF"/>
    <w:rsid w:val="002628DF"/>
    <w:rsid w:val="00262986"/>
    <w:rsid w:val="002642F2"/>
    <w:rsid w:val="002659A0"/>
    <w:rsid w:val="00272E63"/>
    <w:rsid w:val="002748B7"/>
    <w:rsid w:val="00275D0C"/>
    <w:rsid w:val="00276E4F"/>
    <w:rsid w:val="0028073C"/>
    <w:rsid w:val="00280AED"/>
    <w:rsid w:val="002842A4"/>
    <w:rsid w:val="00293D80"/>
    <w:rsid w:val="002A29C9"/>
    <w:rsid w:val="002A3E55"/>
    <w:rsid w:val="002B7BFC"/>
    <w:rsid w:val="002C03FA"/>
    <w:rsid w:val="002C3F7F"/>
    <w:rsid w:val="002C4141"/>
    <w:rsid w:val="002C42FB"/>
    <w:rsid w:val="002C666D"/>
    <w:rsid w:val="002D3033"/>
    <w:rsid w:val="002E3E32"/>
    <w:rsid w:val="002F1B74"/>
    <w:rsid w:val="002F5AFF"/>
    <w:rsid w:val="003128F0"/>
    <w:rsid w:val="00312BF8"/>
    <w:rsid w:val="003211EB"/>
    <w:rsid w:val="00322D50"/>
    <w:rsid w:val="00324528"/>
    <w:rsid w:val="00325455"/>
    <w:rsid w:val="0032549E"/>
    <w:rsid w:val="00330854"/>
    <w:rsid w:val="003439F3"/>
    <w:rsid w:val="00344C4E"/>
    <w:rsid w:val="00345A3E"/>
    <w:rsid w:val="00345C1A"/>
    <w:rsid w:val="00346D6D"/>
    <w:rsid w:val="00351D7F"/>
    <w:rsid w:val="0036135F"/>
    <w:rsid w:val="00361F67"/>
    <w:rsid w:val="0036283E"/>
    <w:rsid w:val="00364794"/>
    <w:rsid w:val="003648D0"/>
    <w:rsid w:val="00365CC1"/>
    <w:rsid w:val="00371B9A"/>
    <w:rsid w:val="003739DE"/>
    <w:rsid w:val="00375B35"/>
    <w:rsid w:val="00382809"/>
    <w:rsid w:val="00383E44"/>
    <w:rsid w:val="00387C49"/>
    <w:rsid w:val="003937BE"/>
    <w:rsid w:val="003A1D6F"/>
    <w:rsid w:val="003A282C"/>
    <w:rsid w:val="003A3472"/>
    <w:rsid w:val="003A6F77"/>
    <w:rsid w:val="003B006F"/>
    <w:rsid w:val="003B0F68"/>
    <w:rsid w:val="003B2034"/>
    <w:rsid w:val="003B46B8"/>
    <w:rsid w:val="003C36EF"/>
    <w:rsid w:val="003C500B"/>
    <w:rsid w:val="003C6DBD"/>
    <w:rsid w:val="003D7607"/>
    <w:rsid w:val="003E23E0"/>
    <w:rsid w:val="003E586C"/>
    <w:rsid w:val="003E66CE"/>
    <w:rsid w:val="0041086F"/>
    <w:rsid w:val="00411C13"/>
    <w:rsid w:val="00414919"/>
    <w:rsid w:val="00422F98"/>
    <w:rsid w:val="00425ED4"/>
    <w:rsid w:val="0042696B"/>
    <w:rsid w:val="00427472"/>
    <w:rsid w:val="004337E1"/>
    <w:rsid w:val="004406BF"/>
    <w:rsid w:val="004416BE"/>
    <w:rsid w:val="004433E8"/>
    <w:rsid w:val="00446FB2"/>
    <w:rsid w:val="004510F8"/>
    <w:rsid w:val="00452A76"/>
    <w:rsid w:val="004534E3"/>
    <w:rsid w:val="00455EC1"/>
    <w:rsid w:val="00457B5D"/>
    <w:rsid w:val="00460989"/>
    <w:rsid w:val="00463551"/>
    <w:rsid w:val="0046523C"/>
    <w:rsid w:val="00470BC5"/>
    <w:rsid w:val="00470C40"/>
    <w:rsid w:val="00470FA3"/>
    <w:rsid w:val="00471EF9"/>
    <w:rsid w:val="00472EE3"/>
    <w:rsid w:val="00482D9F"/>
    <w:rsid w:val="00486DF4"/>
    <w:rsid w:val="00491DE3"/>
    <w:rsid w:val="004936D6"/>
    <w:rsid w:val="00495473"/>
    <w:rsid w:val="004A00CA"/>
    <w:rsid w:val="004A033C"/>
    <w:rsid w:val="004A5C13"/>
    <w:rsid w:val="004A75E0"/>
    <w:rsid w:val="004B2073"/>
    <w:rsid w:val="004B2378"/>
    <w:rsid w:val="004B2604"/>
    <w:rsid w:val="004B4933"/>
    <w:rsid w:val="004B6F5E"/>
    <w:rsid w:val="004C0E9A"/>
    <w:rsid w:val="004C514E"/>
    <w:rsid w:val="004C5652"/>
    <w:rsid w:val="004C7B9A"/>
    <w:rsid w:val="004C7F72"/>
    <w:rsid w:val="004D65CB"/>
    <w:rsid w:val="004D7063"/>
    <w:rsid w:val="004E057A"/>
    <w:rsid w:val="004E38E9"/>
    <w:rsid w:val="004E42E7"/>
    <w:rsid w:val="004E7DE5"/>
    <w:rsid w:val="004F35B4"/>
    <w:rsid w:val="004F4332"/>
    <w:rsid w:val="004F4CAE"/>
    <w:rsid w:val="004F5E17"/>
    <w:rsid w:val="00503541"/>
    <w:rsid w:val="00504F41"/>
    <w:rsid w:val="005107FB"/>
    <w:rsid w:val="00511C42"/>
    <w:rsid w:val="005173BA"/>
    <w:rsid w:val="0053116E"/>
    <w:rsid w:val="005345E0"/>
    <w:rsid w:val="00536FC6"/>
    <w:rsid w:val="005379C3"/>
    <w:rsid w:val="0054542D"/>
    <w:rsid w:val="00545964"/>
    <w:rsid w:val="00553AF1"/>
    <w:rsid w:val="005727B8"/>
    <w:rsid w:val="005744A8"/>
    <w:rsid w:val="00575401"/>
    <w:rsid w:val="00575DF3"/>
    <w:rsid w:val="00582E9E"/>
    <w:rsid w:val="00583654"/>
    <w:rsid w:val="00584DFD"/>
    <w:rsid w:val="005928D1"/>
    <w:rsid w:val="00593AE2"/>
    <w:rsid w:val="00597414"/>
    <w:rsid w:val="005A44D0"/>
    <w:rsid w:val="005A7FDB"/>
    <w:rsid w:val="005B7E97"/>
    <w:rsid w:val="005C0318"/>
    <w:rsid w:val="005C3C70"/>
    <w:rsid w:val="005D1C69"/>
    <w:rsid w:val="005E070F"/>
    <w:rsid w:val="005E5D16"/>
    <w:rsid w:val="005E72C9"/>
    <w:rsid w:val="005F32CF"/>
    <w:rsid w:val="005F3676"/>
    <w:rsid w:val="005F579A"/>
    <w:rsid w:val="005F6C1D"/>
    <w:rsid w:val="005F7FD9"/>
    <w:rsid w:val="006036EB"/>
    <w:rsid w:val="00621A6E"/>
    <w:rsid w:val="00627669"/>
    <w:rsid w:val="0063663A"/>
    <w:rsid w:val="00642729"/>
    <w:rsid w:val="00646121"/>
    <w:rsid w:val="006461BA"/>
    <w:rsid w:val="00646731"/>
    <w:rsid w:val="00652EF6"/>
    <w:rsid w:val="006538D6"/>
    <w:rsid w:val="00653A18"/>
    <w:rsid w:val="00663F48"/>
    <w:rsid w:val="006649B2"/>
    <w:rsid w:val="006729DE"/>
    <w:rsid w:val="00682431"/>
    <w:rsid w:val="00682988"/>
    <w:rsid w:val="0068598C"/>
    <w:rsid w:val="006933A6"/>
    <w:rsid w:val="006A10B3"/>
    <w:rsid w:val="006A53D0"/>
    <w:rsid w:val="006A6DF4"/>
    <w:rsid w:val="006C2F25"/>
    <w:rsid w:val="006C550B"/>
    <w:rsid w:val="006D1494"/>
    <w:rsid w:val="006D3712"/>
    <w:rsid w:val="006D6C38"/>
    <w:rsid w:val="006D6C99"/>
    <w:rsid w:val="006E00AF"/>
    <w:rsid w:val="006E00B5"/>
    <w:rsid w:val="006E41F9"/>
    <w:rsid w:val="006E64D2"/>
    <w:rsid w:val="006F0CC1"/>
    <w:rsid w:val="006F114C"/>
    <w:rsid w:val="006F5BBD"/>
    <w:rsid w:val="00701817"/>
    <w:rsid w:val="00706C0D"/>
    <w:rsid w:val="00710384"/>
    <w:rsid w:val="007117E2"/>
    <w:rsid w:val="00712F77"/>
    <w:rsid w:val="0072006E"/>
    <w:rsid w:val="00723C02"/>
    <w:rsid w:val="00723FDA"/>
    <w:rsid w:val="00726E8F"/>
    <w:rsid w:val="007277C9"/>
    <w:rsid w:val="00727FA2"/>
    <w:rsid w:val="007338C6"/>
    <w:rsid w:val="00735952"/>
    <w:rsid w:val="00742763"/>
    <w:rsid w:val="007463B9"/>
    <w:rsid w:val="0074706E"/>
    <w:rsid w:val="00750DF9"/>
    <w:rsid w:val="007527FF"/>
    <w:rsid w:val="00756B24"/>
    <w:rsid w:val="0076025C"/>
    <w:rsid w:val="00760B4B"/>
    <w:rsid w:val="00760EA0"/>
    <w:rsid w:val="00761996"/>
    <w:rsid w:val="00762CDA"/>
    <w:rsid w:val="00764932"/>
    <w:rsid w:val="007652CB"/>
    <w:rsid w:val="00774852"/>
    <w:rsid w:val="00775A92"/>
    <w:rsid w:val="00781A1E"/>
    <w:rsid w:val="007827C4"/>
    <w:rsid w:val="00782DD8"/>
    <w:rsid w:val="007835F6"/>
    <w:rsid w:val="00784C34"/>
    <w:rsid w:val="00785555"/>
    <w:rsid w:val="007916FB"/>
    <w:rsid w:val="00792998"/>
    <w:rsid w:val="00796874"/>
    <w:rsid w:val="00796876"/>
    <w:rsid w:val="007A0BA8"/>
    <w:rsid w:val="007A14C9"/>
    <w:rsid w:val="007B2FB6"/>
    <w:rsid w:val="007B6209"/>
    <w:rsid w:val="007D4403"/>
    <w:rsid w:val="007D6B8A"/>
    <w:rsid w:val="007D7848"/>
    <w:rsid w:val="007E0FB3"/>
    <w:rsid w:val="007E6FEF"/>
    <w:rsid w:val="007F2CDF"/>
    <w:rsid w:val="007F3411"/>
    <w:rsid w:val="008045F8"/>
    <w:rsid w:val="0081695B"/>
    <w:rsid w:val="00825FFD"/>
    <w:rsid w:val="00830081"/>
    <w:rsid w:val="00836CB1"/>
    <w:rsid w:val="00847B1F"/>
    <w:rsid w:val="00850E74"/>
    <w:rsid w:val="0085126A"/>
    <w:rsid w:val="00853706"/>
    <w:rsid w:val="00860079"/>
    <w:rsid w:val="008634B6"/>
    <w:rsid w:val="00866EA9"/>
    <w:rsid w:val="00873679"/>
    <w:rsid w:val="00873DEE"/>
    <w:rsid w:val="0087414C"/>
    <w:rsid w:val="0087661F"/>
    <w:rsid w:val="00881DA6"/>
    <w:rsid w:val="008857AE"/>
    <w:rsid w:val="008869E8"/>
    <w:rsid w:val="00887399"/>
    <w:rsid w:val="00887480"/>
    <w:rsid w:val="00887C85"/>
    <w:rsid w:val="00896F15"/>
    <w:rsid w:val="008A3452"/>
    <w:rsid w:val="008B2019"/>
    <w:rsid w:val="008B3483"/>
    <w:rsid w:val="008B4F49"/>
    <w:rsid w:val="008C1656"/>
    <w:rsid w:val="008C2983"/>
    <w:rsid w:val="008C5E3B"/>
    <w:rsid w:val="008D05BA"/>
    <w:rsid w:val="008D0838"/>
    <w:rsid w:val="008D5B9D"/>
    <w:rsid w:val="008E72E4"/>
    <w:rsid w:val="00905081"/>
    <w:rsid w:val="00906A56"/>
    <w:rsid w:val="00911871"/>
    <w:rsid w:val="00912633"/>
    <w:rsid w:val="009168C8"/>
    <w:rsid w:val="00923F38"/>
    <w:rsid w:val="0092445B"/>
    <w:rsid w:val="00924A76"/>
    <w:rsid w:val="00925B0F"/>
    <w:rsid w:val="009273B9"/>
    <w:rsid w:val="00931ACB"/>
    <w:rsid w:val="00933BE6"/>
    <w:rsid w:val="00941885"/>
    <w:rsid w:val="00942617"/>
    <w:rsid w:val="00942D0F"/>
    <w:rsid w:val="0094315F"/>
    <w:rsid w:val="00951D87"/>
    <w:rsid w:val="009538E2"/>
    <w:rsid w:val="0095592D"/>
    <w:rsid w:val="0095595C"/>
    <w:rsid w:val="00955F00"/>
    <w:rsid w:val="009574D1"/>
    <w:rsid w:val="00962743"/>
    <w:rsid w:val="009745F1"/>
    <w:rsid w:val="0097475C"/>
    <w:rsid w:val="00977184"/>
    <w:rsid w:val="00983587"/>
    <w:rsid w:val="009847B9"/>
    <w:rsid w:val="00987537"/>
    <w:rsid w:val="00990068"/>
    <w:rsid w:val="0099326E"/>
    <w:rsid w:val="00995CC6"/>
    <w:rsid w:val="009A03DD"/>
    <w:rsid w:val="009A20C8"/>
    <w:rsid w:val="009A4859"/>
    <w:rsid w:val="009A5206"/>
    <w:rsid w:val="009A5D2B"/>
    <w:rsid w:val="009A5F21"/>
    <w:rsid w:val="009A6AAC"/>
    <w:rsid w:val="009B18A6"/>
    <w:rsid w:val="009B6B6F"/>
    <w:rsid w:val="009B7C1A"/>
    <w:rsid w:val="009C1E3B"/>
    <w:rsid w:val="009C2270"/>
    <w:rsid w:val="009C7B77"/>
    <w:rsid w:val="009D108E"/>
    <w:rsid w:val="009D69B4"/>
    <w:rsid w:val="009E0DAD"/>
    <w:rsid w:val="009E4254"/>
    <w:rsid w:val="009E5356"/>
    <w:rsid w:val="009F24F3"/>
    <w:rsid w:val="009F36C4"/>
    <w:rsid w:val="009F42AD"/>
    <w:rsid w:val="009F7C94"/>
    <w:rsid w:val="00A031A0"/>
    <w:rsid w:val="00A13DC7"/>
    <w:rsid w:val="00A150BA"/>
    <w:rsid w:val="00A160CA"/>
    <w:rsid w:val="00A20006"/>
    <w:rsid w:val="00A254E6"/>
    <w:rsid w:val="00A344D7"/>
    <w:rsid w:val="00A479D9"/>
    <w:rsid w:val="00A50125"/>
    <w:rsid w:val="00A52C6E"/>
    <w:rsid w:val="00A53A1F"/>
    <w:rsid w:val="00A565C1"/>
    <w:rsid w:val="00A6183C"/>
    <w:rsid w:val="00A6270D"/>
    <w:rsid w:val="00A70E8A"/>
    <w:rsid w:val="00A730E7"/>
    <w:rsid w:val="00A761F5"/>
    <w:rsid w:val="00A801F4"/>
    <w:rsid w:val="00A83DEE"/>
    <w:rsid w:val="00A84D07"/>
    <w:rsid w:val="00A84DBA"/>
    <w:rsid w:val="00A87423"/>
    <w:rsid w:val="00A875EC"/>
    <w:rsid w:val="00A92748"/>
    <w:rsid w:val="00AA5583"/>
    <w:rsid w:val="00AB26CE"/>
    <w:rsid w:val="00AB37A3"/>
    <w:rsid w:val="00AB6168"/>
    <w:rsid w:val="00AB6D2B"/>
    <w:rsid w:val="00AC5001"/>
    <w:rsid w:val="00AC623D"/>
    <w:rsid w:val="00AD179E"/>
    <w:rsid w:val="00AD45BD"/>
    <w:rsid w:val="00AD47B1"/>
    <w:rsid w:val="00AE0177"/>
    <w:rsid w:val="00AE1BE5"/>
    <w:rsid w:val="00AE2221"/>
    <w:rsid w:val="00AE26BF"/>
    <w:rsid w:val="00AF6E96"/>
    <w:rsid w:val="00AF774B"/>
    <w:rsid w:val="00B07706"/>
    <w:rsid w:val="00B07EF6"/>
    <w:rsid w:val="00B122FA"/>
    <w:rsid w:val="00B17237"/>
    <w:rsid w:val="00B21970"/>
    <w:rsid w:val="00B24642"/>
    <w:rsid w:val="00B27CA0"/>
    <w:rsid w:val="00B30429"/>
    <w:rsid w:val="00B33B2C"/>
    <w:rsid w:val="00B37042"/>
    <w:rsid w:val="00B4011C"/>
    <w:rsid w:val="00B416EA"/>
    <w:rsid w:val="00B43F61"/>
    <w:rsid w:val="00B446A6"/>
    <w:rsid w:val="00B46C51"/>
    <w:rsid w:val="00B47BFD"/>
    <w:rsid w:val="00B50F76"/>
    <w:rsid w:val="00B52DB1"/>
    <w:rsid w:val="00B5388A"/>
    <w:rsid w:val="00B55129"/>
    <w:rsid w:val="00B56FB1"/>
    <w:rsid w:val="00B7037D"/>
    <w:rsid w:val="00B7233A"/>
    <w:rsid w:val="00B824DF"/>
    <w:rsid w:val="00B833F4"/>
    <w:rsid w:val="00B8497D"/>
    <w:rsid w:val="00B9584A"/>
    <w:rsid w:val="00B97FE1"/>
    <w:rsid w:val="00BA1ABB"/>
    <w:rsid w:val="00BA444F"/>
    <w:rsid w:val="00BA4614"/>
    <w:rsid w:val="00BB10C6"/>
    <w:rsid w:val="00BB3A7C"/>
    <w:rsid w:val="00BB3DD3"/>
    <w:rsid w:val="00BB4272"/>
    <w:rsid w:val="00BB513C"/>
    <w:rsid w:val="00BB754F"/>
    <w:rsid w:val="00BC2C42"/>
    <w:rsid w:val="00BC30BB"/>
    <w:rsid w:val="00BC32FE"/>
    <w:rsid w:val="00BC501D"/>
    <w:rsid w:val="00BC6143"/>
    <w:rsid w:val="00BC7237"/>
    <w:rsid w:val="00BC7271"/>
    <w:rsid w:val="00BD3CC0"/>
    <w:rsid w:val="00BE0457"/>
    <w:rsid w:val="00BE374D"/>
    <w:rsid w:val="00BF1509"/>
    <w:rsid w:val="00BF2340"/>
    <w:rsid w:val="00BF2675"/>
    <w:rsid w:val="00BF64B0"/>
    <w:rsid w:val="00C00AC8"/>
    <w:rsid w:val="00C0570D"/>
    <w:rsid w:val="00C15D32"/>
    <w:rsid w:val="00C23A4B"/>
    <w:rsid w:val="00C25976"/>
    <w:rsid w:val="00C30B1A"/>
    <w:rsid w:val="00C30EC0"/>
    <w:rsid w:val="00C332B8"/>
    <w:rsid w:val="00C34A2F"/>
    <w:rsid w:val="00C44051"/>
    <w:rsid w:val="00C46D0A"/>
    <w:rsid w:val="00C47DCB"/>
    <w:rsid w:val="00C51683"/>
    <w:rsid w:val="00C5651D"/>
    <w:rsid w:val="00C56E1E"/>
    <w:rsid w:val="00C57D2D"/>
    <w:rsid w:val="00C60232"/>
    <w:rsid w:val="00C619F0"/>
    <w:rsid w:val="00C66448"/>
    <w:rsid w:val="00C705F3"/>
    <w:rsid w:val="00C70B5A"/>
    <w:rsid w:val="00C72012"/>
    <w:rsid w:val="00C77616"/>
    <w:rsid w:val="00C83930"/>
    <w:rsid w:val="00C92BF3"/>
    <w:rsid w:val="00C93724"/>
    <w:rsid w:val="00C96A7E"/>
    <w:rsid w:val="00CA2597"/>
    <w:rsid w:val="00CA39E2"/>
    <w:rsid w:val="00CA5752"/>
    <w:rsid w:val="00CB2574"/>
    <w:rsid w:val="00CD2F41"/>
    <w:rsid w:val="00CD63D5"/>
    <w:rsid w:val="00CE0BAB"/>
    <w:rsid w:val="00CE2D83"/>
    <w:rsid w:val="00CE33CE"/>
    <w:rsid w:val="00CE59EA"/>
    <w:rsid w:val="00CE5A5A"/>
    <w:rsid w:val="00CE676B"/>
    <w:rsid w:val="00CE6E3F"/>
    <w:rsid w:val="00CE714E"/>
    <w:rsid w:val="00CF15DC"/>
    <w:rsid w:val="00D04744"/>
    <w:rsid w:val="00D0626C"/>
    <w:rsid w:val="00D06EE6"/>
    <w:rsid w:val="00D13430"/>
    <w:rsid w:val="00D15444"/>
    <w:rsid w:val="00D154AD"/>
    <w:rsid w:val="00D16DEA"/>
    <w:rsid w:val="00D17C30"/>
    <w:rsid w:val="00D2112F"/>
    <w:rsid w:val="00D216E0"/>
    <w:rsid w:val="00D23193"/>
    <w:rsid w:val="00D2383F"/>
    <w:rsid w:val="00D302C9"/>
    <w:rsid w:val="00D354DA"/>
    <w:rsid w:val="00D368E1"/>
    <w:rsid w:val="00D37573"/>
    <w:rsid w:val="00D40A4F"/>
    <w:rsid w:val="00D437DB"/>
    <w:rsid w:val="00D44A0E"/>
    <w:rsid w:val="00D44D15"/>
    <w:rsid w:val="00D477F0"/>
    <w:rsid w:val="00D47FA6"/>
    <w:rsid w:val="00D51F52"/>
    <w:rsid w:val="00D545F7"/>
    <w:rsid w:val="00D5524E"/>
    <w:rsid w:val="00D5792B"/>
    <w:rsid w:val="00D638FB"/>
    <w:rsid w:val="00D65962"/>
    <w:rsid w:val="00D711AB"/>
    <w:rsid w:val="00D7132D"/>
    <w:rsid w:val="00D72083"/>
    <w:rsid w:val="00D8072C"/>
    <w:rsid w:val="00D80C4B"/>
    <w:rsid w:val="00D80C61"/>
    <w:rsid w:val="00D849F2"/>
    <w:rsid w:val="00D865B9"/>
    <w:rsid w:val="00D90C7A"/>
    <w:rsid w:val="00DA0F4C"/>
    <w:rsid w:val="00DA3DC2"/>
    <w:rsid w:val="00DA5E15"/>
    <w:rsid w:val="00DA6450"/>
    <w:rsid w:val="00DB7C7B"/>
    <w:rsid w:val="00DC02CE"/>
    <w:rsid w:val="00DC73D9"/>
    <w:rsid w:val="00DD3EE6"/>
    <w:rsid w:val="00DD3FF1"/>
    <w:rsid w:val="00DD61CE"/>
    <w:rsid w:val="00DD71CB"/>
    <w:rsid w:val="00DE2C91"/>
    <w:rsid w:val="00DE416C"/>
    <w:rsid w:val="00DE4A77"/>
    <w:rsid w:val="00DF37B5"/>
    <w:rsid w:val="00DF56B2"/>
    <w:rsid w:val="00E0190F"/>
    <w:rsid w:val="00E12B2B"/>
    <w:rsid w:val="00E12F9C"/>
    <w:rsid w:val="00E131F3"/>
    <w:rsid w:val="00E15571"/>
    <w:rsid w:val="00E27A93"/>
    <w:rsid w:val="00E3084E"/>
    <w:rsid w:val="00E34971"/>
    <w:rsid w:val="00E35743"/>
    <w:rsid w:val="00E35DAF"/>
    <w:rsid w:val="00E36CD1"/>
    <w:rsid w:val="00E4062D"/>
    <w:rsid w:val="00E42316"/>
    <w:rsid w:val="00E431E1"/>
    <w:rsid w:val="00E50652"/>
    <w:rsid w:val="00E506F4"/>
    <w:rsid w:val="00E53119"/>
    <w:rsid w:val="00E609A9"/>
    <w:rsid w:val="00E624CD"/>
    <w:rsid w:val="00E64E42"/>
    <w:rsid w:val="00E700EB"/>
    <w:rsid w:val="00E71FDC"/>
    <w:rsid w:val="00E7412E"/>
    <w:rsid w:val="00E8146D"/>
    <w:rsid w:val="00E84646"/>
    <w:rsid w:val="00E86B47"/>
    <w:rsid w:val="00E91E91"/>
    <w:rsid w:val="00E97CB2"/>
    <w:rsid w:val="00EA1304"/>
    <w:rsid w:val="00EA1F92"/>
    <w:rsid w:val="00EA250B"/>
    <w:rsid w:val="00EA4A60"/>
    <w:rsid w:val="00EA7C99"/>
    <w:rsid w:val="00EA7D39"/>
    <w:rsid w:val="00EB2669"/>
    <w:rsid w:val="00EB2C00"/>
    <w:rsid w:val="00EB3A94"/>
    <w:rsid w:val="00EB7B8F"/>
    <w:rsid w:val="00EC2016"/>
    <w:rsid w:val="00EC2D1F"/>
    <w:rsid w:val="00EC4A9A"/>
    <w:rsid w:val="00EC74EE"/>
    <w:rsid w:val="00ED4698"/>
    <w:rsid w:val="00ED6D21"/>
    <w:rsid w:val="00EE047B"/>
    <w:rsid w:val="00EE2A7F"/>
    <w:rsid w:val="00EE414A"/>
    <w:rsid w:val="00EE4E4A"/>
    <w:rsid w:val="00EE7A88"/>
    <w:rsid w:val="00EF696D"/>
    <w:rsid w:val="00F035BF"/>
    <w:rsid w:val="00F05417"/>
    <w:rsid w:val="00F1300B"/>
    <w:rsid w:val="00F17339"/>
    <w:rsid w:val="00F20270"/>
    <w:rsid w:val="00F24EF7"/>
    <w:rsid w:val="00F26FB4"/>
    <w:rsid w:val="00F30506"/>
    <w:rsid w:val="00F328A6"/>
    <w:rsid w:val="00F32BC1"/>
    <w:rsid w:val="00F3717D"/>
    <w:rsid w:val="00F40A02"/>
    <w:rsid w:val="00F438F0"/>
    <w:rsid w:val="00F4619A"/>
    <w:rsid w:val="00F50BFB"/>
    <w:rsid w:val="00F56FA9"/>
    <w:rsid w:val="00F60F17"/>
    <w:rsid w:val="00F7589E"/>
    <w:rsid w:val="00F7679E"/>
    <w:rsid w:val="00F77C2A"/>
    <w:rsid w:val="00F82EBA"/>
    <w:rsid w:val="00F8386E"/>
    <w:rsid w:val="00F86DF5"/>
    <w:rsid w:val="00F87C7C"/>
    <w:rsid w:val="00F9223B"/>
    <w:rsid w:val="00F97AF2"/>
    <w:rsid w:val="00FA1D0D"/>
    <w:rsid w:val="00FC642C"/>
    <w:rsid w:val="00FD35D7"/>
    <w:rsid w:val="00FD7EAB"/>
    <w:rsid w:val="00FE03C9"/>
    <w:rsid w:val="00FE1BB6"/>
    <w:rsid w:val="00FE4C1B"/>
    <w:rsid w:val="00FE55FF"/>
    <w:rsid w:val="00FF1483"/>
    <w:rsid w:val="00FF1516"/>
    <w:rsid w:val="00FF41F8"/>
    <w:rsid w:val="00FF45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F5E"/>
    <w:pPr>
      <w:spacing w:after="0" w:line="240" w:lineRule="auto"/>
    </w:pPr>
    <w:rPr>
      <w:rFonts w:ascii="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dlomakpopisa1">
    <w:name w:val="odlomakpopisa1"/>
    <w:basedOn w:val="Normal"/>
    <w:rsid w:val="004B6F5E"/>
    <w:pPr>
      <w:spacing w:after="200" w:line="276" w:lineRule="auto"/>
      <w:ind w:left="720"/>
      <w:jc w:val="both"/>
    </w:pPr>
    <w:rPr>
      <w:rFonts w:ascii="Calibri" w:hAnsi="Calibri" w:cs="Calibri"/>
      <w:sz w:val="22"/>
      <w:szCs w:val="22"/>
    </w:rPr>
  </w:style>
  <w:style w:type="paragraph" w:customStyle="1" w:styleId="t-9-8">
    <w:name w:val="t-9-8"/>
    <w:basedOn w:val="Normal"/>
    <w:rsid w:val="004B6F5E"/>
    <w:pPr>
      <w:spacing w:before="100" w:beforeAutospacing="1" w:after="100" w:afterAutospacing="1"/>
    </w:pPr>
  </w:style>
  <w:style w:type="paragraph" w:styleId="Tekstbalonia">
    <w:name w:val="Balloon Text"/>
    <w:basedOn w:val="Normal"/>
    <w:link w:val="TekstbaloniaChar"/>
    <w:uiPriority w:val="99"/>
    <w:semiHidden/>
    <w:unhideWhenUsed/>
    <w:rsid w:val="004B6F5E"/>
    <w:rPr>
      <w:rFonts w:ascii="Tahoma" w:hAnsi="Tahoma" w:cs="Tahoma"/>
      <w:sz w:val="16"/>
      <w:szCs w:val="16"/>
    </w:rPr>
  </w:style>
  <w:style w:type="character" w:customStyle="1" w:styleId="TekstbaloniaChar">
    <w:name w:val="Tekst balončića Char"/>
    <w:basedOn w:val="Zadanifontodlomka"/>
    <w:link w:val="Tekstbalonia"/>
    <w:uiPriority w:val="99"/>
    <w:semiHidden/>
    <w:rsid w:val="004B6F5E"/>
    <w:rPr>
      <w:rFonts w:ascii="Tahoma"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F5E"/>
    <w:pPr>
      <w:spacing w:after="0" w:line="240" w:lineRule="auto"/>
    </w:pPr>
    <w:rPr>
      <w:rFonts w:ascii="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dlomakpopisa1">
    <w:name w:val="odlomakpopisa1"/>
    <w:basedOn w:val="Normal"/>
    <w:rsid w:val="004B6F5E"/>
    <w:pPr>
      <w:spacing w:after="200" w:line="276" w:lineRule="auto"/>
      <w:ind w:left="720"/>
      <w:jc w:val="both"/>
    </w:pPr>
    <w:rPr>
      <w:rFonts w:ascii="Calibri" w:hAnsi="Calibri" w:cs="Calibri"/>
      <w:sz w:val="22"/>
      <w:szCs w:val="22"/>
    </w:rPr>
  </w:style>
  <w:style w:type="paragraph" w:customStyle="1" w:styleId="t-9-8">
    <w:name w:val="t-9-8"/>
    <w:basedOn w:val="Normal"/>
    <w:rsid w:val="004B6F5E"/>
    <w:pPr>
      <w:spacing w:before="100" w:beforeAutospacing="1" w:after="100" w:afterAutospacing="1"/>
    </w:pPr>
  </w:style>
  <w:style w:type="paragraph" w:styleId="Tekstbalonia">
    <w:name w:val="Balloon Text"/>
    <w:basedOn w:val="Normal"/>
    <w:link w:val="TekstbaloniaChar"/>
    <w:uiPriority w:val="99"/>
    <w:semiHidden/>
    <w:unhideWhenUsed/>
    <w:rsid w:val="004B6F5E"/>
    <w:rPr>
      <w:rFonts w:ascii="Tahoma" w:hAnsi="Tahoma" w:cs="Tahoma"/>
      <w:sz w:val="16"/>
      <w:szCs w:val="16"/>
    </w:rPr>
  </w:style>
  <w:style w:type="character" w:customStyle="1" w:styleId="TekstbaloniaChar">
    <w:name w:val="Tekst balončića Char"/>
    <w:basedOn w:val="Zadanifontodlomka"/>
    <w:link w:val="Tekstbalonia"/>
    <w:uiPriority w:val="99"/>
    <w:semiHidden/>
    <w:rsid w:val="004B6F5E"/>
    <w:rPr>
      <w:rFonts w:ascii="Tahoma"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2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cid:image001.png@01CF734C.3C6786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cid:image003.png@01CF734C.3C678640" TargetMode="Externa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cid:image002.png@01CF734C.3C67864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3781</Words>
  <Characters>21555</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Milić</dc:creator>
  <cp:lastModifiedBy>wsadmin</cp:lastModifiedBy>
  <cp:revision>2</cp:revision>
  <dcterms:created xsi:type="dcterms:W3CDTF">2014-08-08T11:59:00Z</dcterms:created>
  <dcterms:modified xsi:type="dcterms:W3CDTF">2014-08-08T11:59:00Z</dcterms:modified>
</cp:coreProperties>
</file>